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F2A33" w14:textId="77777777" w:rsidR="001C033E" w:rsidRPr="005A72B5" w:rsidRDefault="001C033E" w:rsidP="005A72B5">
      <w:pPr>
        <w:bidi w:val="0"/>
        <w:spacing w:line="480" w:lineRule="auto"/>
        <w:rPr>
          <w:rFonts w:asciiTheme="majorBidi" w:eastAsia="Calibri" w:hAnsiTheme="majorBidi" w:cstheme="majorBidi"/>
          <w:b/>
          <w:bCs/>
          <w:sz w:val="24"/>
          <w:szCs w:val="24"/>
          <w:lang w:bidi="ar-SA"/>
        </w:rPr>
      </w:pPr>
      <w:bookmarkStart w:id="0" w:name="_Hlk20872918"/>
      <w:bookmarkStart w:id="1" w:name="_GoBack"/>
      <w:bookmarkEnd w:id="1"/>
      <w:r w:rsidRPr="005A72B5">
        <w:rPr>
          <w:rFonts w:asciiTheme="majorBidi" w:eastAsia="Calibri" w:hAnsiTheme="majorBidi" w:cstheme="majorBidi"/>
          <w:b/>
          <w:bCs/>
          <w:sz w:val="24"/>
          <w:szCs w:val="24"/>
          <w:lang w:bidi="ar-SA"/>
        </w:rPr>
        <w:t xml:space="preserve">Evaluation of the relation between </w:t>
      </w:r>
      <w:bookmarkStart w:id="2" w:name="_Hlk20873012"/>
      <w:r w:rsidRPr="005A72B5">
        <w:rPr>
          <w:rFonts w:asciiTheme="majorBidi" w:eastAsia="Calibri" w:hAnsiTheme="majorBidi" w:cstheme="majorBidi"/>
          <w:b/>
          <w:bCs/>
          <w:sz w:val="24"/>
          <w:szCs w:val="24"/>
          <w:lang w:bidi="ar-SA"/>
        </w:rPr>
        <w:t xml:space="preserve">platelet count </w:t>
      </w:r>
      <w:bookmarkEnd w:id="2"/>
      <w:r w:rsidRPr="005A72B5">
        <w:rPr>
          <w:rFonts w:asciiTheme="majorBidi" w:eastAsia="Calibri" w:hAnsiTheme="majorBidi" w:cstheme="majorBidi"/>
          <w:b/>
          <w:bCs/>
          <w:sz w:val="24"/>
          <w:szCs w:val="24"/>
          <w:lang w:bidi="ar-SA"/>
        </w:rPr>
        <w:t xml:space="preserve">after primary PCI and left ventricular aneurysm in patients with acute anterior ST elevation myocardial infarction </w:t>
      </w:r>
    </w:p>
    <w:p w14:paraId="31C2B98D" w14:textId="77777777" w:rsidR="000B2AB1" w:rsidRPr="005A72B5" w:rsidRDefault="000B2AB1" w:rsidP="005A72B5">
      <w:pPr>
        <w:bidi w:val="0"/>
        <w:spacing w:line="480" w:lineRule="auto"/>
        <w:rPr>
          <w:rFonts w:asciiTheme="majorBidi" w:eastAsia="Calibri" w:hAnsiTheme="majorBidi" w:cstheme="majorBidi"/>
          <w:b/>
          <w:bCs/>
          <w:sz w:val="24"/>
          <w:szCs w:val="24"/>
          <w:lang w:bidi="ar-SA"/>
        </w:rPr>
      </w:pPr>
      <w:r w:rsidRPr="005A72B5">
        <w:rPr>
          <w:rFonts w:asciiTheme="majorBidi" w:eastAsia="Calibri" w:hAnsiTheme="majorBidi" w:cstheme="majorBidi"/>
          <w:b/>
          <w:bCs/>
          <w:sz w:val="24"/>
          <w:szCs w:val="24"/>
          <w:lang w:bidi="ar-SA"/>
        </w:rPr>
        <w:t xml:space="preserve">Abstract </w:t>
      </w:r>
    </w:p>
    <w:p w14:paraId="16551398" w14:textId="77777777" w:rsidR="000B2AB1" w:rsidRPr="009F7382" w:rsidRDefault="000B2AB1" w:rsidP="009F7382">
      <w:pPr>
        <w:bidi w:val="0"/>
        <w:spacing w:after="0" w:line="480" w:lineRule="auto"/>
        <w:jc w:val="lowKashida"/>
        <w:rPr>
          <w:rFonts w:asciiTheme="majorBidi" w:eastAsia="Times New Roman" w:hAnsiTheme="majorBidi" w:cstheme="majorBidi"/>
          <w:color w:val="1C1E29"/>
          <w:sz w:val="24"/>
          <w:szCs w:val="24"/>
          <w:lang w:bidi="ar-SA"/>
        </w:rPr>
      </w:pPr>
      <w:r w:rsidRPr="005A72B5">
        <w:rPr>
          <w:rFonts w:asciiTheme="majorBidi" w:eastAsia="Times New Roman" w:hAnsiTheme="majorBidi" w:cstheme="majorBidi"/>
          <w:b/>
          <w:bCs/>
          <w:color w:val="1C1E29"/>
          <w:sz w:val="24"/>
          <w:szCs w:val="24"/>
          <w:lang w:bidi="ar-SA"/>
        </w:rPr>
        <w:t xml:space="preserve"> </w:t>
      </w:r>
      <w:r w:rsidR="003255EB" w:rsidRPr="005A72B5">
        <w:rPr>
          <w:rFonts w:asciiTheme="majorBidi" w:eastAsia="Times New Roman" w:hAnsiTheme="majorBidi" w:cstheme="majorBidi"/>
          <w:b/>
          <w:bCs/>
          <w:color w:val="1C1E29"/>
          <w:sz w:val="24"/>
          <w:szCs w:val="24"/>
          <w:lang w:bidi="ar-SA"/>
        </w:rPr>
        <w:t>Objective</w:t>
      </w:r>
      <w:r w:rsidRPr="005A72B5">
        <w:rPr>
          <w:rFonts w:asciiTheme="majorBidi" w:eastAsia="Times New Roman" w:hAnsiTheme="majorBidi" w:cstheme="majorBidi"/>
          <w:b/>
          <w:bCs/>
          <w:color w:val="1C1E29"/>
          <w:sz w:val="24"/>
          <w:szCs w:val="24"/>
          <w:lang w:bidi="ar-SA"/>
        </w:rPr>
        <w:t>: </w:t>
      </w:r>
      <w:r w:rsidRPr="005A72B5">
        <w:rPr>
          <w:rFonts w:asciiTheme="majorBidi" w:eastAsia="Times New Roman" w:hAnsiTheme="majorBidi" w:cstheme="majorBidi"/>
          <w:color w:val="1C1E29"/>
          <w:sz w:val="24"/>
          <w:szCs w:val="24"/>
          <w:lang w:bidi="ar-SA"/>
        </w:rPr>
        <w:t xml:space="preserve"> The aim of this study was to evaluate the relationship between platelet count after </w:t>
      </w:r>
      <w:proofErr w:type="spellStart"/>
      <w:r w:rsidRPr="005A72B5">
        <w:rPr>
          <w:rFonts w:asciiTheme="majorBidi" w:eastAsia="Times New Roman" w:hAnsiTheme="majorBidi" w:cstheme="majorBidi"/>
          <w:color w:val="1C1E29"/>
          <w:sz w:val="24"/>
          <w:szCs w:val="24"/>
          <w:lang w:bidi="ar-SA"/>
        </w:rPr>
        <w:t>after</w:t>
      </w:r>
      <w:proofErr w:type="spellEnd"/>
      <w:r w:rsidRPr="005A72B5">
        <w:rPr>
          <w:rFonts w:asciiTheme="majorBidi" w:eastAsia="Times New Roman" w:hAnsiTheme="majorBidi" w:cstheme="majorBidi"/>
          <w:color w:val="1C1E29"/>
          <w:sz w:val="24"/>
          <w:szCs w:val="24"/>
          <w:lang w:bidi="ar-SA"/>
        </w:rPr>
        <w:t xml:space="preserve"> primary percutaneous coronary intervention (p-PCI) and left ventricular aneurysm (LVA) in patients with acute anterior ST-elevation myocardial </w:t>
      </w:r>
      <w:proofErr w:type="gramStart"/>
      <w:r w:rsidRPr="005A72B5">
        <w:rPr>
          <w:rFonts w:asciiTheme="majorBidi" w:eastAsia="Times New Roman" w:hAnsiTheme="majorBidi" w:cstheme="majorBidi"/>
          <w:color w:val="1C1E29"/>
          <w:sz w:val="24"/>
          <w:szCs w:val="24"/>
          <w:lang w:bidi="ar-SA"/>
        </w:rPr>
        <w:t>infarction(</w:t>
      </w:r>
      <w:proofErr w:type="gramEnd"/>
      <w:r w:rsidRPr="005A72B5">
        <w:rPr>
          <w:rFonts w:asciiTheme="majorBidi" w:eastAsia="Times New Roman" w:hAnsiTheme="majorBidi" w:cstheme="majorBidi"/>
          <w:color w:val="1C1E29"/>
          <w:sz w:val="24"/>
          <w:szCs w:val="24"/>
          <w:lang w:bidi="ar-SA"/>
        </w:rPr>
        <w:t>STEMI).</w:t>
      </w:r>
    </w:p>
    <w:p w14:paraId="58DD58A1" w14:textId="77777777" w:rsidR="000B2AB1" w:rsidRPr="009F7382" w:rsidRDefault="000B2AB1" w:rsidP="009F7382">
      <w:pPr>
        <w:bidi w:val="0"/>
        <w:spacing w:after="0" w:line="480" w:lineRule="auto"/>
        <w:jc w:val="lowKashida"/>
        <w:rPr>
          <w:rFonts w:asciiTheme="majorBidi" w:eastAsia="Times New Roman" w:hAnsiTheme="majorBidi" w:cstheme="majorBidi"/>
          <w:color w:val="1C1E29"/>
          <w:sz w:val="24"/>
          <w:szCs w:val="24"/>
          <w:lang w:bidi="ar-SA"/>
        </w:rPr>
      </w:pPr>
      <w:r w:rsidRPr="005A72B5">
        <w:rPr>
          <w:rFonts w:asciiTheme="majorBidi" w:eastAsia="Times New Roman" w:hAnsiTheme="majorBidi" w:cstheme="majorBidi"/>
          <w:b/>
          <w:bCs/>
          <w:color w:val="1C1E29"/>
          <w:sz w:val="24"/>
          <w:szCs w:val="24"/>
          <w:lang w:bidi="ar-SA"/>
        </w:rPr>
        <w:t xml:space="preserve"> </w:t>
      </w:r>
      <w:r w:rsidR="00C01B28" w:rsidRPr="005A72B5">
        <w:rPr>
          <w:rFonts w:asciiTheme="majorBidi" w:eastAsia="Times New Roman" w:hAnsiTheme="majorBidi" w:cstheme="majorBidi"/>
          <w:b/>
          <w:bCs/>
          <w:color w:val="1C1E29"/>
          <w:sz w:val="24"/>
          <w:szCs w:val="24"/>
          <w:lang w:bidi="ar-SA"/>
        </w:rPr>
        <w:t>Methodology</w:t>
      </w:r>
      <w:r w:rsidRPr="005A72B5">
        <w:rPr>
          <w:rFonts w:asciiTheme="majorBidi" w:eastAsia="Times New Roman" w:hAnsiTheme="majorBidi" w:cstheme="majorBidi"/>
          <w:b/>
          <w:bCs/>
          <w:color w:val="1C1E29"/>
          <w:sz w:val="24"/>
          <w:szCs w:val="24"/>
          <w:lang w:bidi="ar-SA"/>
        </w:rPr>
        <w:t>: </w:t>
      </w:r>
      <w:r w:rsidRPr="005A72B5">
        <w:rPr>
          <w:rFonts w:asciiTheme="majorBidi" w:eastAsia="Times New Roman" w:hAnsiTheme="majorBidi" w:cstheme="majorBidi"/>
          <w:color w:val="1C1E29"/>
          <w:sz w:val="24"/>
          <w:szCs w:val="24"/>
          <w:lang w:bidi="ar-SA"/>
        </w:rPr>
        <w:t xml:space="preserve">This prospective, cohort study was performed on a population of patients with acute anterior STEMI, who had undergone p-PCI. Sampling was carried out by a consecutive survey of patients, who were admitted to the Medical Center in summer and fall of 2018. Blood samples were collected intravenously from all the patients at admission to the emergency department before and after p-PCI. Echocardiographic examinations were routinely performed by a specialist assistant as the co-author 8 to 12 hours after p-PCI and at follow-up (10 to 14 months after acute MI). The TIMI flow was observed immediately after </w:t>
      </w:r>
      <w:proofErr w:type="gramStart"/>
      <w:r w:rsidRPr="005A72B5">
        <w:rPr>
          <w:rFonts w:asciiTheme="majorBidi" w:eastAsia="Times New Roman" w:hAnsiTheme="majorBidi" w:cstheme="majorBidi"/>
          <w:color w:val="1C1E29"/>
          <w:sz w:val="24"/>
          <w:szCs w:val="24"/>
          <w:lang w:bidi="ar-SA"/>
        </w:rPr>
        <w:t>p-PCI</w:t>
      </w:r>
      <w:proofErr w:type="gramEnd"/>
      <w:r w:rsidRPr="005A72B5">
        <w:rPr>
          <w:rFonts w:asciiTheme="majorBidi" w:eastAsia="Times New Roman" w:hAnsiTheme="majorBidi" w:cstheme="majorBidi"/>
          <w:color w:val="1C1E29"/>
          <w:sz w:val="24"/>
          <w:szCs w:val="24"/>
          <w:lang w:bidi="ar-SA"/>
        </w:rPr>
        <w:t xml:space="preserve">. In all the patients undergoing </w:t>
      </w:r>
      <w:bookmarkStart w:id="3" w:name="_Hlk20873414"/>
      <w:r w:rsidRPr="005A72B5">
        <w:rPr>
          <w:rFonts w:asciiTheme="majorBidi" w:eastAsia="Times New Roman" w:hAnsiTheme="majorBidi" w:cstheme="majorBidi"/>
          <w:color w:val="1C1E29"/>
          <w:sz w:val="24"/>
          <w:szCs w:val="24"/>
          <w:lang w:bidi="ar-SA"/>
        </w:rPr>
        <w:t>p-PCI</w:t>
      </w:r>
      <w:bookmarkEnd w:id="3"/>
      <w:r w:rsidRPr="005A72B5">
        <w:rPr>
          <w:rFonts w:asciiTheme="majorBidi" w:eastAsia="Times New Roman" w:hAnsiTheme="majorBidi" w:cstheme="majorBidi"/>
          <w:color w:val="1C1E29"/>
          <w:sz w:val="24"/>
          <w:szCs w:val="24"/>
          <w:lang w:bidi="ar-SA"/>
        </w:rPr>
        <w:t xml:space="preserve">, the location of left anterior descending (LAD) </w:t>
      </w:r>
      <w:proofErr w:type="gramStart"/>
      <w:r w:rsidRPr="005A72B5">
        <w:rPr>
          <w:rFonts w:asciiTheme="majorBidi" w:eastAsia="Times New Roman" w:hAnsiTheme="majorBidi" w:cstheme="majorBidi"/>
          <w:color w:val="1C1E29"/>
          <w:sz w:val="24"/>
          <w:szCs w:val="24"/>
          <w:lang w:bidi="ar-SA"/>
        </w:rPr>
        <w:t>artery</w:t>
      </w:r>
      <w:proofErr w:type="gramEnd"/>
      <w:r w:rsidRPr="005A72B5">
        <w:rPr>
          <w:rFonts w:asciiTheme="majorBidi" w:eastAsia="Times New Roman" w:hAnsiTheme="majorBidi" w:cstheme="majorBidi"/>
          <w:color w:val="1C1E29"/>
          <w:sz w:val="24"/>
          <w:szCs w:val="24"/>
          <w:lang w:bidi="ar-SA"/>
        </w:rPr>
        <w:t xml:space="preserve"> involvement during coronary arteries angiography was divided into three sections based on LAD artery length.</w:t>
      </w:r>
    </w:p>
    <w:p w14:paraId="3E9DEAFC" w14:textId="77777777" w:rsidR="000B2AB1" w:rsidRPr="009F7382" w:rsidRDefault="000B2AB1" w:rsidP="009F7382">
      <w:pPr>
        <w:bidi w:val="0"/>
        <w:spacing w:after="0" w:line="480" w:lineRule="auto"/>
        <w:jc w:val="lowKashida"/>
        <w:rPr>
          <w:rFonts w:asciiTheme="majorBidi" w:eastAsia="Times New Roman" w:hAnsiTheme="majorBidi" w:cstheme="majorBidi"/>
          <w:color w:val="1C1E29"/>
          <w:sz w:val="24"/>
          <w:szCs w:val="24"/>
          <w:lang w:bidi="ar-SA"/>
        </w:rPr>
      </w:pPr>
      <w:r w:rsidRPr="005A72B5">
        <w:rPr>
          <w:rFonts w:asciiTheme="majorBidi" w:eastAsia="Times New Roman" w:hAnsiTheme="majorBidi" w:cstheme="majorBidi"/>
          <w:b/>
          <w:bCs/>
          <w:color w:val="1C1E29"/>
          <w:sz w:val="24"/>
          <w:szCs w:val="24"/>
          <w:lang w:bidi="ar-SA"/>
        </w:rPr>
        <w:t xml:space="preserve"> </w:t>
      </w:r>
      <w:r w:rsidR="00C01B28" w:rsidRPr="005A72B5">
        <w:rPr>
          <w:rFonts w:asciiTheme="majorBidi" w:eastAsia="Times New Roman" w:hAnsiTheme="majorBidi" w:cstheme="majorBidi"/>
          <w:b/>
          <w:bCs/>
          <w:color w:val="1C1E29"/>
          <w:sz w:val="24"/>
          <w:szCs w:val="24"/>
          <w:lang w:bidi="ar-SA"/>
        </w:rPr>
        <w:t>Results</w:t>
      </w:r>
      <w:r w:rsidRPr="005A72B5">
        <w:rPr>
          <w:rFonts w:asciiTheme="majorBidi" w:eastAsia="Times New Roman" w:hAnsiTheme="majorBidi" w:cstheme="majorBidi"/>
          <w:b/>
          <w:bCs/>
          <w:color w:val="1C1E29"/>
          <w:sz w:val="24"/>
          <w:szCs w:val="24"/>
          <w:lang w:bidi="ar-SA"/>
        </w:rPr>
        <w:t>: </w:t>
      </w:r>
      <w:r w:rsidRPr="005A72B5">
        <w:rPr>
          <w:rFonts w:asciiTheme="majorBidi" w:eastAsia="Times New Roman" w:hAnsiTheme="majorBidi" w:cstheme="majorBidi"/>
          <w:color w:val="1C1E29"/>
          <w:sz w:val="24"/>
          <w:szCs w:val="24"/>
          <w:lang w:bidi="ar-SA"/>
        </w:rPr>
        <w:t>The mean WBC and PMN before p-PCI were statistically higher in the group of patients with LVA compared to the other group (p&lt;0.001). Based on multivariate analysis platelet count (OR=0.999, age (OR=1.07), PMN before P-PCI (OR=1.001) had a significant additive effect on the probability of LVA formation.</w:t>
      </w:r>
    </w:p>
    <w:p w14:paraId="4B4C9EDC" w14:textId="77777777" w:rsidR="000B2AB1" w:rsidRPr="009F7382" w:rsidRDefault="000B2AB1" w:rsidP="009F7382">
      <w:pPr>
        <w:bidi w:val="0"/>
        <w:spacing w:after="0" w:line="480" w:lineRule="auto"/>
        <w:jc w:val="lowKashida"/>
        <w:rPr>
          <w:rFonts w:asciiTheme="majorBidi" w:eastAsia="Times New Roman" w:hAnsiTheme="majorBidi" w:cstheme="majorBidi"/>
          <w:color w:val="1C1E29"/>
          <w:sz w:val="24"/>
          <w:szCs w:val="24"/>
          <w:lang w:bidi="ar-SA"/>
        </w:rPr>
      </w:pPr>
      <w:r w:rsidRPr="005A72B5">
        <w:rPr>
          <w:rFonts w:asciiTheme="majorBidi" w:eastAsia="Times New Roman" w:hAnsiTheme="majorBidi" w:cstheme="majorBidi"/>
          <w:b/>
          <w:bCs/>
          <w:color w:val="1C1E29"/>
          <w:sz w:val="24"/>
          <w:szCs w:val="24"/>
          <w:lang w:bidi="ar-SA"/>
        </w:rPr>
        <w:t>Conclusion: </w:t>
      </w:r>
      <w:r w:rsidRPr="005A72B5">
        <w:rPr>
          <w:rFonts w:asciiTheme="majorBidi" w:eastAsia="Times New Roman" w:hAnsiTheme="majorBidi" w:cstheme="majorBidi"/>
          <w:color w:val="1C1E29"/>
          <w:sz w:val="24"/>
          <w:szCs w:val="24"/>
          <w:lang w:bidi="ar-SA"/>
        </w:rPr>
        <w:t>Platelet count can be used for prediction of the risk of future LVA formation in acute STEMI patients. </w:t>
      </w:r>
    </w:p>
    <w:p w14:paraId="55774B8A" w14:textId="77777777" w:rsidR="000B2AB1" w:rsidRPr="005A72B5" w:rsidRDefault="000B2AB1" w:rsidP="005A72B5">
      <w:pPr>
        <w:bidi w:val="0"/>
        <w:spacing w:after="0" w:line="480" w:lineRule="auto"/>
        <w:jc w:val="lowKashida"/>
        <w:rPr>
          <w:rFonts w:asciiTheme="majorBidi" w:eastAsia="Times New Roman" w:hAnsiTheme="majorBidi" w:cstheme="majorBidi"/>
          <w:color w:val="1C1E29"/>
          <w:sz w:val="24"/>
          <w:szCs w:val="24"/>
          <w:lang w:bidi="ar-SA"/>
        </w:rPr>
      </w:pPr>
      <w:r w:rsidRPr="005A72B5">
        <w:rPr>
          <w:rFonts w:asciiTheme="majorBidi" w:eastAsia="Times New Roman" w:hAnsiTheme="majorBidi" w:cstheme="majorBidi"/>
          <w:b/>
          <w:bCs/>
          <w:color w:val="1C1E29"/>
          <w:sz w:val="24"/>
          <w:szCs w:val="24"/>
          <w:lang w:bidi="ar-SA"/>
        </w:rPr>
        <w:t xml:space="preserve"> Keywords:</w:t>
      </w:r>
      <w:r w:rsidRPr="005A72B5">
        <w:rPr>
          <w:rFonts w:asciiTheme="majorBidi" w:eastAsia="Times New Roman" w:hAnsiTheme="majorBidi" w:cstheme="majorBidi"/>
          <w:color w:val="1C1E29"/>
          <w:sz w:val="24"/>
          <w:szCs w:val="24"/>
          <w:lang w:bidi="ar-SA"/>
        </w:rPr>
        <w:t> ST-segment elevation myocardial infarction; platelet count; mortality; percutaneous coronary intervention; left ventricular aneurysm</w:t>
      </w:r>
    </w:p>
    <w:p w14:paraId="5C99E35E" w14:textId="77777777" w:rsidR="000B2AB1" w:rsidRPr="005A72B5" w:rsidRDefault="000B2AB1" w:rsidP="005A72B5">
      <w:pPr>
        <w:bidi w:val="0"/>
        <w:spacing w:line="480" w:lineRule="auto"/>
        <w:rPr>
          <w:rFonts w:asciiTheme="majorBidi" w:eastAsia="Calibri" w:hAnsiTheme="majorBidi" w:cstheme="majorBidi"/>
          <w:b/>
          <w:bCs/>
          <w:sz w:val="24"/>
          <w:szCs w:val="24"/>
          <w:lang w:bidi="ar-SA"/>
        </w:rPr>
      </w:pPr>
    </w:p>
    <w:bookmarkEnd w:id="0"/>
    <w:p w14:paraId="16B47F1E" w14:textId="77777777" w:rsidR="00C01B28" w:rsidRPr="005A72B5" w:rsidRDefault="00C01B28"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lastRenderedPageBreak/>
        <w:t>INTRODUCTION</w:t>
      </w:r>
    </w:p>
    <w:p w14:paraId="257D5FF1"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Left ventricular aneurysm (LVA) is a common complication of acute myocardial infarction (MI) with a prevalence of about 10 to 38%. </w:t>
      </w:r>
      <w:r w:rsidRPr="005A72B5">
        <w:rPr>
          <w:rFonts w:asciiTheme="majorBidi" w:hAnsiTheme="majorBidi" w:cstheme="majorBidi"/>
          <w:sz w:val="24"/>
          <w:szCs w:val="24"/>
          <w:vertAlign w:val="superscript"/>
          <w:lang w:bidi="ar-SA"/>
        </w:rPr>
        <w:t>1,2</w:t>
      </w:r>
      <w:r w:rsidRPr="005A72B5">
        <w:rPr>
          <w:rFonts w:asciiTheme="majorBidi" w:hAnsiTheme="majorBidi" w:cstheme="majorBidi"/>
          <w:sz w:val="24"/>
          <w:szCs w:val="24"/>
          <w:lang w:bidi="ar-SA"/>
        </w:rPr>
        <w:t xml:space="preserve"> The mortality rate in LVA patients is six times higher than in patients without aneurysm.</w:t>
      </w:r>
      <w:r w:rsidRPr="005A72B5">
        <w:rPr>
          <w:rFonts w:asciiTheme="majorBidi" w:hAnsiTheme="majorBidi" w:cstheme="majorBidi"/>
          <w:sz w:val="24"/>
          <w:szCs w:val="24"/>
          <w:vertAlign w:val="superscript"/>
          <w:lang w:bidi="ar-SA"/>
        </w:rPr>
        <w:t>3</w:t>
      </w:r>
      <w:r w:rsidRPr="005A72B5">
        <w:rPr>
          <w:rFonts w:asciiTheme="majorBidi" w:hAnsiTheme="majorBidi" w:cstheme="majorBidi"/>
          <w:sz w:val="24"/>
          <w:szCs w:val="24"/>
          <w:lang w:bidi="ar-SA"/>
        </w:rPr>
        <w:t xml:space="preserve"> Clinical risk factors for LVA formation include anterior MI, underdeveloped collaterals, and smoking</w:t>
      </w:r>
      <w:r w:rsidR="00AE2261" w:rsidRPr="005A72B5">
        <w:rPr>
          <w:rFonts w:asciiTheme="majorBidi" w:hAnsiTheme="majorBidi" w:cstheme="majorBidi"/>
          <w:sz w:val="24"/>
          <w:szCs w:val="24"/>
          <w:lang w:bidi="ar-SA"/>
        </w:rPr>
        <w:t>.</w:t>
      </w:r>
      <w:r w:rsidR="00AE2261" w:rsidRPr="005A72B5">
        <w:rPr>
          <w:rFonts w:asciiTheme="majorBidi" w:hAnsiTheme="majorBidi" w:cstheme="majorBidi"/>
          <w:sz w:val="24"/>
          <w:szCs w:val="24"/>
          <w:vertAlign w:val="superscript"/>
          <w:lang w:bidi="ar-SA"/>
        </w:rPr>
        <w:t>4</w:t>
      </w:r>
      <w:r w:rsidRPr="005A72B5">
        <w:rPr>
          <w:rFonts w:asciiTheme="majorBidi" w:hAnsiTheme="majorBidi" w:cstheme="majorBidi"/>
          <w:sz w:val="24"/>
          <w:szCs w:val="24"/>
          <w:lang w:bidi="ar-SA"/>
        </w:rPr>
        <w:t xml:space="preserve">  However, no evidence of a reliable biomarker yet exits for predicting the future risk of LVA formation, especially in the early phase of MI onset. Various hematological parameters can be readily and routinely available prior to primary angioplasty (P-PCI) in ST-elevation myocardial infarction (STEMI) patients. High levels of neutrophils have been shown to be associated with an increased risk of adverse clinical outcomes after acute MI</w:t>
      </w:r>
      <w:r w:rsidR="00AE2261" w:rsidRPr="005A72B5">
        <w:rPr>
          <w:rFonts w:asciiTheme="majorBidi" w:hAnsiTheme="majorBidi" w:cstheme="majorBidi"/>
          <w:sz w:val="24"/>
          <w:szCs w:val="24"/>
          <w:lang w:bidi="ar-SA"/>
        </w:rPr>
        <w:t>.</w:t>
      </w:r>
      <w:r w:rsidR="00AE2261" w:rsidRPr="005A72B5">
        <w:rPr>
          <w:rFonts w:asciiTheme="majorBidi" w:hAnsiTheme="majorBidi" w:cstheme="majorBidi"/>
          <w:sz w:val="24"/>
          <w:szCs w:val="24"/>
          <w:vertAlign w:val="superscript"/>
          <w:lang w:bidi="ar-SA"/>
        </w:rPr>
        <w:t>5</w:t>
      </w:r>
      <w:r w:rsidRPr="005A72B5">
        <w:rPr>
          <w:rFonts w:asciiTheme="majorBidi" w:hAnsiTheme="majorBidi" w:cstheme="majorBidi"/>
          <w:sz w:val="24"/>
          <w:szCs w:val="24"/>
          <w:lang w:bidi="ar-SA"/>
        </w:rPr>
        <w:t xml:space="preserve">  Platelets can release inflammatory markers and also directly activate other inflammatory cells, leading to greater release of inflammatory cytokines and enhancement of inflammatory response in the microvascular system</w:t>
      </w:r>
      <w:r w:rsidR="0073467C" w:rsidRPr="005A72B5">
        <w:rPr>
          <w:rFonts w:asciiTheme="majorBidi" w:hAnsiTheme="majorBidi" w:cstheme="majorBidi"/>
          <w:sz w:val="24"/>
          <w:szCs w:val="24"/>
          <w:lang w:bidi="ar-SA"/>
        </w:rPr>
        <w:t>.</w:t>
      </w:r>
      <w:r w:rsidR="0073467C" w:rsidRPr="005A72B5">
        <w:rPr>
          <w:rFonts w:asciiTheme="majorBidi" w:hAnsiTheme="majorBidi" w:cstheme="majorBidi"/>
          <w:sz w:val="24"/>
          <w:szCs w:val="24"/>
          <w:vertAlign w:val="superscript"/>
          <w:lang w:bidi="ar-SA"/>
        </w:rPr>
        <w:t>6</w:t>
      </w:r>
      <w:r w:rsidRPr="005A72B5">
        <w:rPr>
          <w:rFonts w:asciiTheme="majorBidi" w:hAnsiTheme="majorBidi" w:cstheme="majorBidi"/>
          <w:sz w:val="24"/>
          <w:szCs w:val="24"/>
          <w:lang w:bidi="ar-SA"/>
        </w:rPr>
        <w:t xml:space="preserve">  Early risk prediction is critical for identifying patients with high-risk of LVA formation after primary percutaneous coronary intervention (PCI) in order to prevent or treat the disease</w:t>
      </w:r>
      <w:r w:rsidR="0073467C" w:rsidRPr="005A72B5">
        <w:rPr>
          <w:rFonts w:asciiTheme="majorBidi" w:hAnsiTheme="majorBidi" w:cstheme="majorBidi"/>
          <w:sz w:val="24"/>
          <w:szCs w:val="24"/>
          <w:lang w:bidi="ar-SA"/>
        </w:rPr>
        <w:t>.</w:t>
      </w:r>
      <w:r w:rsidR="0073467C" w:rsidRPr="005A72B5">
        <w:rPr>
          <w:rFonts w:asciiTheme="majorBidi" w:hAnsiTheme="majorBidi" w:cstheme="majorBidi"/>
          <w:sz w:val="24"/>
          <w:szCs w:val="24"/>
          <w:vertAlign w:val="superscript"/>
          <w:lang w:bidi="ar-SA"/>
        </w:rPr>
        <w:t>7</w:t>
      </w:r>
      <w:r w:rsidRPr="005A72B5">
        <w:rPr>
          <w:rFonts w:asciiTheme="majorBidi" w:hAnsiTheme="majorBidi" w:cstheme="majorBidi"/>
          <w:sz w:val="24"/>
          <w:szCs w:val="24"/>
          <w:lang w:bidi="ar-SA"/>
        </w:rPr>
        <w:t xml:space="preserve"> Despite numerous reports demonstrating the predictive value of hematological parameters for the prognosis of acute MI patients undergoing primary PCI, limited studies have investigated the link between hematological parameters and LVA formation. Accordingly, we conducted a study aimed at examining the relationship between intra-procedure hematological parameters and future LVA formation. Of interest was to evaluate the potential predictive value of intra-procedure hematological parameters for LVA so that the timely diagnosis and treatment of the disease can prevent its potential complications.</w:t>
      </w:r>
    </w:p>
    <w:p w14:paraId="55D66350" w14:textId="77777777" w:rsidR="00667C9C" w:rsidRPr="005A72B5" w:rsidRDefault="00667C9C"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METHODOLOGY</w:t>
      </w:r>
    </w:p>
    <w:p w14:paraId="1CACC7D6"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This prospective, cohort, analytic study was performed on a population of patients with acute anterior STEMI, admitted to the emergency department at the </w:t>
      </w:r>
      <w:proofErr w:type="spellStart"/>
      <w:r w:rsidRPr="005A72B5">
        <w:rPr>
          <w:rFonts w:asciiTheme="majorBidi" w:hAnsiTheme="majorBidi" w:cstheme="majorBidi"/>
          <w:sz w:val="24"/>
          <w:szCs w:val="24"/>
          <w:lang w:bidi="ar-SA"/>
        </w:rPr>
        <w:t>Heshmat</w:t>
      </w:r>
      <w:proofErr w:type="spellEnd"/>
      <w:r w:rsidRPr="005A72B5">
        <w:rPr>
          <w:rFonts w:asciiTheme="majorBidi" w:hAnsiTheme="majorBidi" w:cstheme="majorBidi"/>
          <w:sz w:val="24"/>
          <w:szCs w:val="24"/>
          <w:lang w:bidi="ar-SA"/>
        </w:rPr>
        <w:t xml:space="preserve"> Medical Center, </w:t>
      </w:r>
      <w:r w:rsidRPr="005A72B5">
        <w:rPr>
          <w:rFonts w:asciiTheme="majorBidi" w:hAnsiTheme="majorBidi" w:cstheme="majorBidi"/>
          <w:sz w:val="24"/>
          <w:szCs w:val="24"/>
          <w:lang w:bidi="ar-SA"/>
        </w:rPr>
        <w:lastRenderedPageBreak/>
        <w:t xml:space="preserve">Rasht, Iran, who had undergone primary PCI. Sampling was carried out by a consecutive survey of patients, who were admitted to the Medical Center in summer and fall of 2018 and met the inclusion criteria, and continued until data saturation. The inclusion criteria were diagnosis of acute anterior STEMI by a specialist physician at admission and primary PCI as well as no LVA formation. The exclusion criteria included cardiogenic shock at admission, thrombolytic drug use within the last 24 hours, active infection, history of systemic inflammatory diseases, clinical evidence of autoimmune or proliferative blood diseases, known malignancy, liver and kidney diseases, and LVA defined as outward </w:t>
      </w:r>
      <w:proofErr w:type="spellStart"/>
      <w:r w:rsidRPr="005A72B5">
        <w:rPr>
          <w:rFonts w:asciiTheme="majorBidi" w:hAnsiTheme="majorBidi" w:cstheme="majorBidi"/>
          <w:sz w:val="24"/>
          <w:szCs w:val="24"/>
          <w:lang w:bidi="ar-SA"/>
        </w:rPr>
        <w:t>dyskinetic</w:t>
      </w:r>
      <w:proofErr w:type="spellEnd"/>
      <w:r w:rsidRPr="005A72B5">
        <w:rPr>
          <w:rFonts w:asciiTheme="majorBidi" w:hAnsiTheme="majorBidi" w:cstheme="majorBidi"/>
          <w:sz w:val="24"/>
          <w:szCs w:val="24"/>
          <w:lang w:bidi="ar-SA"/>
        </w:rPr>
        <w:t xml:space="preserve"> or </w:t>
      </w:r>
      <w:proofErr w:type="spellStart"/>
      <w:r w:rsidRPr="005A72B5">
        <w:rPr>
          <w:rFonts w:asciiTheme="majorBidi" w:hAnsiTheme="majorBidi" w:cstheme="majorBidi"/>
          <w:sz w:val="24"/>
          <w:szCs w:val="24"/>
          <w:lang w:bidi="ar-SA"/>
        </w:rPr>
        <w:t>akinetic</w:t>
      </w:r>
      <w:proofErr w:type="spellEnd"/>
      <w:r w:rsidRPr="005A72B5">
        <w:rPr>
          <w:rFonts w:asciiTheme="majorBidi" w:hAnsiTheme="majorBidi" w:cstheme="majorBidi"/>
          <w:sz w:val="24"/>
          <w:szCs w:val="24"/>
          <w:lang w:bidi="ar-SA"/>
        </w:rPr>
        <w:t xml:space="preserve"> motion of the ventricular wall during the entire cardiac cycle. Echocardiography was used to diagnose LVA one year later (10 to 14 months after acute MI). The patients underwent common medical treatment with aspirin, </w:t>
      </w:r>
      <w:proofErr w:type="spellStart"/>
      <w:r w:rsidRPr="005A72B5">
        <w:rPr>
          <w:rFonts w:asciiTheme="majorBidi" w:hAnsiTheme="majorBidi" w:cstheme="majorBidi"/>
          <w:sz w:val="24"/>
          <w:szCs w:val="24"/>
          <w:lang w:bidi="ar-SA"/>
        </w:rPr>
        <w:t>clopidogrel</w:t>
      </w:r>
      <w:proofErr w:type="spellEnd"/>
      <w:r w:rsidRPr="005A72B5">
        <w:rPr>
          <w:rFonts w:asciiTheme="majorBidi" w:hAnsiTheme="majorBidi" w:cstheme="majorBidi"/>
          <w:sz w:val="24"/>
          <w:szCs w:val="24"/>
          <w:lang w:bidi="ar-SA"/>
        </w:rPr>
        <w:t>, and heparin prior to primary PCI, which was performed through the standard femoral route. The TIMI flow was observed immediately after P-PCI and divided into four grades based on coronary perfusion:</w:t>
      </w:r>
    </w:p>
    <w:p w14:paraId="2B7B1311" w14:textId="77777777" w:rsidR="00FC6240" w:rsidRPr="005A72B5" w:rsidRDefault="00FC6240" w:rsidP="005A72B5">
      <w:pPr>
        <w:numPr>
          <w:ilvl w:val="0"/>
          <w:numId w:val="1"/>
        </w:numPr>
        <w:bidi w:val="0"/>
        <w:spacing w:line="480" w:lineRule="auto"/>
        <w:contextualSpacing/>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Grade 0 (no perfusion): There exists no </w:t>
      </w:r>
      <w:proofErr w:type="spellStart"/>
      <w:r w:rsidRPr="005A72B5">
        <w:rPr>
          <w:rFonts w:asciiTheme="majorBidi" w:hAnsiTheme="majorBidi" w:cstheme="majorBidi"/>
          <w:sz w:val="24"/>
          <w:szCs w:val="24"/>
          <w:lang w:bidi="ar-SA"/>
        </w:rPr>
        <w:t>antegrade</w:t>
      </w:r>
      <w:proofErr w:type="spellEnd"/>
      <w:r w:rsidRPr="005A72B5">
        <w:rPr>
          <w:rFonts w:asciiTheme="majorBidi" w:hAnsiTheme="majorBidi" w:cstheme="majorBidi"/>
          <w:sz w:val="24"/>
          <w:szCs w:val="24"/>
          <w:lang w:bidi="ar-SA"/>
        </w:rPr>
        <w:t xml:space="preserve"> blood flow beyond the point of occlusion.</w:t>
      </w:r>
    </w:p>
    <w:p w14:paraId="2B97411A" w14:textId="77777777" w:rsidR="00FC6240" w:rsidRPr="005A72B5" w:rsidRDefault="00FC6240" w:rsidP="005A72B5">
      <w:pPr>
        <w:numPr>
          <w:ilvl w:val="0"/>
          <w:numId w:val="1"/>
        </w:numPr>
        <w:bidi w:val="0"/>
        <w:spacing w:line="480" w:lineRule="auto"/>
        <w:contextualSpacing/>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Grade 1 (penetration without perfusion): The contrast material passes beyond the area of obstruction but hangs up and fails to </w:t>
      </w:r>
      <w:proofErr w:type="spellStart"/>
      <w:r w:rsidRPr="005A72B5">
        <w:rPr>
          <w:rFonts w:asciiTheme="majorBidi" w:hAnsiTheme="majorBidi" w:cstheme="majorBidi"/>
          <w:sz w:val="24"/>
          <w:szCs w:val="24"/>
          <w:lang w:bidi="ar-SA"/>
        </w:rPr>
        <w:t>opacify</w:t>
      </w:r>
      <w:proofErr w:type="spellEnd"/>
      <w:r w:rsidRPr="005A72B5">
        <w:rPr>
          <w:rFonts w:asciiTheme="majorBidi" w:hAnsiTheme="majorBidi" w:cstheme="majorBidi"/>
          <w:sz w:val="24"/>
          <w:szCs w:val="24"/>
          <w:lang w:bidi="ar-SA"/>
        </w:rPr>
        <w:t xml:space="preserve"> the entire coronary bed distal.</w:t>
      </w:r>
    </w:p>
    <w:p w14:paraId="64A958B0" w14:textId="77777777" w:rsidR="00FC6240" w:rsidRPr="005A72B5" w:rsidRDefault="00FC6240" w:rsidP="005A72B5">
      <w:pPr>
        <w:numPr>
          <w:ilvl w:val="0"/>
          <w:numId w:val="1"/>
        </w:numPr>
        <w:bidi w:val="0"/>
        <w:spacing w:line="480" w:lineRule="auto"/>
        <w:contextualSpacing/>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Grade 2 (partial perfusion): The contrast material passes beyond the area of obstruction and </w:t>
      </w:r>
      <w:proofErr w:type="spellStart"/>
      <w:r w:rsidRPr="005A72B5">
        <w:rPr>
          <w:rFonts w:asciiTheme="majorBidi" w:hAnsiTheme="majorBidi" w:cstheme="majorBidi"/>
          <w:sz w:val="24"/>
          <w:szCs w:val="24"/>
          <w:lang w:bidi="ar-SA"/>
        </w:rPr>
        <w:t>opacifies</w:t>
      </w:r>
      <w:proofErr w:type="spellEnd"/>
      <w:r w:rsidRPr="005A72B5">
        <w:rPr>
          <w:rFonts w:asciiTheme="majorBidi" w:hAnsiTheme="majorBidi" w:cstheme="majorBidi"/>
          <w:sz w:val="24"/>
          <w:szCs w:val="24"/>
          <w:lang w:bidi="ar-SA"/>
        </w:rPr>
        <w:t xml:space="preserve"> the coronary bed distal to the obstruction. However, the rate of entry of contrast into the vessel distal to the obstruction and/or its rate of clearance from the distal bed are perceptibly slower than the arterial bed proximal to the obstruction.</w:t>
      </w:r>
    </w:p>
    <w:p w14:paraId="4FBC3466" w14:textId="77777777" w:rsidR="00FC6240" w:rsidRPr="005A72B5" w:rsidRDefault="00FC6240" w:rsidP="005A72B5">
      <w:pPr>
        <w:numPr>
          <w:ilvl w:val="0"/>
          <w:numId w:val="1"/>
        </w:numPr>
        <w:bidi w:val="0"/>
        <w:spacing w:line="480" w:lineRule="auto"/>
        <w:contextualSpacing/>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Grade 3 (complete perfusion): </w:t>
      </w:r>
      <w:proofErr w:type="spellStart"/>
      <w:r w:rsidRPr="005A72B5">
        <w:rPr>
          <w:rFonts w:asciiTheme="majorBidi" w:hAnsiTheme="majorBidi" w:cstheme="majorBidi"/>
          <w:sz w:val="24"/>
          <w:szCs w:val="24"/>
          <w:lang w:bidi="ar-SA"/>
        </w:rPr>
        <w:t>Antegrade</w:t>
      </w:r>
      <w:proofErr w:type="spellEnd"/>
      <w:r w:rsidRPr="005A72B5">
        <w:rPr>
          <w:rFonts w:asciiTheme="majorBidi" w:hAnsiTheme="majorBidi" w:cstheme="majorBidi"/>
          <w:sz w:val="24"/>
          <w:szCs w:val="24"/>
          <w:lang w:bidi="ar-SA"/>
        </w:rPr>
        <w:t xml:space="preserve"> flow into the bed distal beyond the area of obstruction and its rate of clearance from the distal bed are similar to the bed proximal to the obstruction.</w:t>
      </w:r>
    </w:p>
    <w:p w14:paraId="02330C71" w14:textId="77777777" w:rsidR="00FC6240" w:rsidRPr="005A72B5" w:rsidRDefault="00FC6240" w:rsidP="00A150D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lastRenderedPageBreak/>
        <w:t>In all the patients undergoing P-PCI, the location of left anterior descending (LAD) artery involvement during coronary arteries angiography was divided into three sections based on LAD artery length</w:t>
      </w:r>
      <w:proofErr w:type="gramStart"/>
      <w:r w:rsidRPr="005A72B5">
        <w:rPr>
          <w:rFonts w:asciiTheme="majorBidi" w:hAnsiTheme="majorBidi" w:cstheme="majorBidi"/>
          <w:sz w:val="24"/>
          <w:szCs w:val="24"/>
          <w:lang w:bidi="ar-SA"/>
        </w:rPr>
        <w:t>:</w:t>
      </w:r>
      <w:proofErr w:type="gramEnd"/>
      <w:r w:rsidR="00A150D5">
        <w:rPr>
          <w:rFonts w:asciiTheme="majorBidi" w:hAnsiTheme="majorBidi" w:cstheme="majorBidi"/>
          <w:sz w:val="24"/>
          <w:szCs w:val="24"/>
          <w:lang w:bidi="ar-SA"/>
        </w:rPr>
        <w:t>1)</w:t>
      </w:r>
      <w:r w:rsidRPr="005A72B5">
        <w:rPr>
          <w:rFonts w:asciiTheme="majorBidi" w:hAnsiTheme="majorBidi" w:cstheme="majorBidi"/>
          <w:sz w:val="24"/>
          <w:szCs w:val="24"/>
          <w:lang w:bidi="ar-SA"/>
        </w:rPr>
        <w:t xml:space="preserve"> </w:t>
      </w:r>
      <w:proofErr w:type="spellStart"/>
      <w:r w:rsidRPr="005A72B5">
        <w:rPr>
          <w:rFonts w:asciiTheme="majorBidi" w:hAnsiTheme="majorBidi" w:cstheme="majorBidi"/>
          <w:sz w:val="24"/>
          <w:szCs w:val="24"/>
          <w:lang w:bidi="ar-SA"/>
        </w:rPr>
        <w:t>Ostioproximal</w:t>
      </w:r>
      <w:proofErr w:type="spellEnd"/>
      <w:r w:rsidR="00A150D5">
        <w:rPr>
          <w:rFonts w:asciiTheme="majorBidi" w:hAnsiTheme="majorBidi" w:cstheme="majorBidi"/>
          <w:sz w:val="24"/>
          <w:szCs w:val="24"/>
          <w:lang w:bidi="ar-SA"/>
        </w:rPr>
        <w:t>, 2)</w:t>
      </w:r>
      <w:r w:rsidRPr="005A72B5">
        <w:rPr>
          <w:rFonts w:asciiTheme="majorBidi" w:hAnsiTheme="majorBidi" w:cstheme="majorBidi"/>
          <w:sz w:val="24"/>
          <w:szCs w:val="24"/>
          <w:lang w:bidi="ar-SA"/>
        </w:rPr>
        <w:t xml:space="preserve"> </w:t>
      </w:r>
      <w:proofErr w:type="spellStart"/>
      <w:r w:rsidRPr="005A72B5">
        <w:rPr>
          <w:rFonts w:asciiTheme="majorBidi" w:hAnsiTheme="majorBidi" w:cstheme="majorBidi"/>
          <w:sz w:val="24"/>
          <w:szCs w:val="24"/>
          <w:lang w:bidi="ar-SA"/>
        </w:rPr>
        <w:t>midportion</w:t>
      </w:r>
      <w:proofErr w:type="spellEnd"/>
      <w:r w:rsidR="00A150D5">
        <w:rPr>
          <w:rFonts w:asciiTheme="majorBidi" w:hAnsiTheme="majorBidi" w:cstheme="majorBidi"/>
          <w:sz w:val="24"/>
          <w:szCs w:val="24"/>
          <w:lang w:bidi="ar-SA"/>
        </w:rPr>
        <w:t>, and 3)</w:t>
      </w:r>
      <w:r w:rsidRPr="005A72B5">
        <w:rPr>
          <w:rFonts w:asciiTheme="majorBidi" w:hAnsiTheme="majorBidi" w:cstheme="majorBidi"/>
          <w:sz w:val="24"/>
          <w:szCs w:val="24"/>
          <w:lang w:bidi="ar-SA"/>
        </w:rPr>
        <w:t xml:space="preserve"> distal</w:t>
      </w:r>
      <w:r w:rsidR="00A150D5">
        <w:rPr>
          <w:rFonts w:asciiTheme="majorBidi" w:hAnsiTheme="majorBidi" w:cstheme="majorBidi"/>
          <w:sz w:val="24"/>
          <w:szCs w:val="24"/>
          <w:lang w:bidi="ar-SA"/>
        </w:rPr>
        <w:t>.</w:t>
      </w:r>
    </w:p>
    <w:p w14:paraId="7B71074A" w14:textId="77777777" w:rsidR="00A812B7"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Blood samples were collected intravenously from all the patients at admission to the emergency department (before primary PCI) and 8 to 12 hours after primary PCI. Hematological parameters including neutrophils and platelets were measured. Moreover, creatinine was measured in all the patients. It is noteworthy that blood parameters were routinely measured at the </w:t>
      </w:r>
      <w:proofErr w:type="spellStart"/>
      <w:r w:rsidRPr="005A72B5">
        <w:rPr>
          <w:rFonts w:asciiTheme="majorBidi" w:hAnsiTheme="majorBidi" w:cstheme="majorBidi"/>
          <w:sz w:val="24"/>
          <w:szCs w:val="24"/>
          <w:lang w:bidi="ar-SA"/>
        </w:rPr>
        <w:t>Heshmat</w:t>
      </w:r>
      <w:proofErr w:type="spellEnd"/>
      <w:r w:rsidRPr="005A72B5">
        <w:rPr>
          <w:rFonts w:asciiTheme="majorBidi" w:hAnsiTheme="majorBidi" w:cstheme="majorBidi"/>
          <w:sz w:val="24"/>
          <w:szCs w:val="24"/>
          <w:lang w:bidi="ar-SA"/>
        </w:rPr>
        <w:t xml:space="preserve"> Medical Center Laboratory. Echocardiographic examinations were routinely performed by a specialist assistant as the co-author 8 to 12 hours after primary PCI and at follow-up (10 to 14 months after acute MI) to measure ejection fraction (EF) using the Simpson’s method.</w:t>
      </w:r>
      <w:r w:rsidR="00A812B7" w:rsidRPr="005A72B5">
        <w:rPr>
          <w:rFonts w:asciiTheme="majorBidi" w:eastAsia="Calibri" w:hAnsiTheme="majorBidi" w:cstheme="majorBidi"/>
          <w:sz w:val="24"/>
          <w:szCs w:val="24"/>
        </w:rPr>
        <w:t xml:space="preserve"> </w:t>
      </w:r>
      <w:r w:rsidR="00A812B7" w:rsidRPr="005A72B5">
        <w:rPr>
          <w:rFonts w:asciiTheme="majorBidi" w:hAnsiTheme="majorBidi" w:cstheme="majorBidi"/>
          <w:sz w:val="24"/>
          <w:szCs w:val="24"/>
          <w:lang w:bidi="ar-SA"/>
        </w:rPr>
        <w:t xml:space="preserve">This study was approved by the Ethics Committee of </w:t>
      </w:r>
      <w:proofErr w:type="spellStart"/>
      <w:r w:rsidR="00A812B7" w:rsidRPr="005A72B5">
        <w:rPr>
          <w:rFonts w:asciiTheme="majorBidi" w:hAnsiTheme="majorBidi" w:cstheme="majorBidi"/>
          <w:sz w:val="24"/>
          <w:szCs w:val="24"/>
          <w:lang w:bidi="ar-SA"/>
        </w:rPr>
        <w:t>Guilan</w:t>
      </w:r>
      <w:proofErr w:type="spellEnd"/>
      <w:r w:rsidR="00CF43CE" w:rsidRPr="005A72B5">
        <w:rPr>
          <w:rFonts w:asciiTheme="majorBidi" w:hAnsiTheme="majorBidi" w:cstheme="majorBidi"/>
          <w:sz w:val="24"/>
          <w:szCs w:val="24"/>
          <w:lang w:bidi="ar-SA"/>
        </w:rPr>
        <w:t xml:space="preserve"> University of Medical Science</w:t>
      </w:r>
      <w:r w:rsidR="00CF43CE" w:rsidRPr="005A72B5">
        <w:rPr>
          <w:rFonts w:asciiTheme="majorBidi" w:hAnsiTheme="majorBidi" w:cstheme="majorBidi"/>
          <w:color w:val="231F20"/>
          <w:sz w:val="24"/>
          <w:szCs w:val="24"/>
        </w:rPr>
        <w:t xml:space="preserve"> </w:t>
      </w:r>
      <w:r w:rsidR="00CF43CE" w:rsidRPr="005A72B5">
        <w:rPr>
          <w:rFonts w:asciiTheme="majorBidi" w:hAnsiTheme="majorBidi" w:cstheme="majorBidi"/>
          <w:sz w:val="24"/>
          <w:szCs w:val="24"/>
          <w:lang w:bidi="ar-SA"/>
        </w:rPr>
        <w:t xml:space="preserve">(Approval No. </w:t>
      </w:r>
      <w:proofErr w:type="gramStart"/>
      <w:r w:rsidR="00CF43CE" w:rsidRPr="005A72B5">
        <w:rPr>
          <w:rFonts w:asciiTheme="majorBidi" w:hAnsiTheme="majorBidi" w:cstheme="majorBidi"/>
          <w:sz w:val="24"/>
          <w:szCs w:val="24"/>
          <w:lang w:bidi="ar-SA"/>
        </w:rPr>
        <w:t>IR.GUMS.REC.139</w:t>
      </w:r>
      <w:r w:rsidR="00A42215" w:rsidRPr="005A72B5">
        <w:rPr>
          <w:rFonts w:asciiTheme="majorBidi" w:hAnsiTheme="majorBidi" w:cstheme="majorBidi"/>
          <w:sz w:val="24"/>
          <w:szCs w:val="24"/>
          <w:lang w:bidi="ar-SA"/>
        </w:rPr>
        <w:t>7</w:t>
      </w:r>
      <w:r w:rsidR="00CF43CE" w:rsidRPr="005A72B5">
        <w:rPr>
          <w:rFonts w:asciiTheme="majorBidi" w:hAnsiTheme="majorBidi" w:cstheme="majorBidi"/>
          <w:sz w:val="24"/>
          <w:szCs w:val="24"/>
          <w:lang w:bidi="ar-SA"/>
        </w:rPr>
        <w:t>.</w:t>
      </w:r>
      <w:r w:rsidR="00A42215" w:rsidRPr="005A72B5">
        <w:rPr>
          <w:rFonts w:asciiTheme="majorBidi" w:hAnsiTheme="majorBidi" w:cstheme="majorBidi"/>
          <w:sz w:val="24"/>
          <w:szCs w:val="24"/>
          <w:lang w:bidi="ar-SA"/>
        </w:rPr>
        <w:t>370</w:t>
      </w:r>
      <w:r w:rsidR="00CF43CE" w:rsidRPr="005A72B5">
        <w:rPr>
          <w:rFonts w:asciiTheme="majorBidi" w:hAnsiTheme="majorBidi" w:cstheme="majorBidi"/>
          <w:sz w:val="24"/>
          <w:szCs w:val="24"/>
          <w:lang w:bidi="ar-SA"/>
        </w:rPr>
        <w:t>).</w:t>
      </w:r>
      <w:proofErr w:type="gramEnd"/>
    </w:p>
    <w:p w14:paraId="3A31A396" w14:textId="77777777" w:rsidR="00FC6240" w:rsidRPr="005A72B5" w:rsidRDefault="00FC6240" w:rsidP="005A72B5">
      <w:pPr>
        <w:bidi w:val="0"/>
        <w:spacing w:line="480" w:lineRule="auto"/>
        <w:jc w:val="lowKashida"/>
        <w:rPr>
          <w:rFonts w:asciiTheme="majorBidi" w:hAnsiTheme="majorBidi" w:cstheme="majorBidi"/>
          <w:b/>
          <w:bCs/>
          <w:sz w:val="24"/>
          <w:szCs w:val="24"/>
          <w:lang w:bidi="ar-SA"/>
        </w:rPr>
      </w:pPr>
      <w:r w:rsidRPr="005A72B5">
        <w:rPr>
          <w:rFonts w:asciiTheme="majorBidi" w:hAnsiTheme="majorBidi" w:cstheme="majorBidi"/>
          <w:b/>
          <w:bCs/>
          <w:sz w:val="24"/>
          <w:szCs w:val="24"/>
          <w:lang w:bidi="ar-SA"/>
        </w:rPr>
        <w:t>Data analysis</w:t>
      </w:r>
    </w:p>
    <w:p w14:paraId="1D5D8C15" w14:textId="77777777" w:rsidR="00FC6240" w:rsidRPr="005A72B5" w:rsidRDefault="00FC6240" w:rsidP="0080185E">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Data analysis was performed in SPSS version 21. Frequency (percent), mean (standard deviation) and median (range of variation) were used as needed to describe the data. Moreover, logistic regression analysis was used to investigate the relationship between the quantitative and qualitative variables with aneurysm formation. If necessary, t-test or Mann-Whitney test would be used to compare the mean of the quantitative variables between the two groups whereas chi-square test would be used to compare proportions between the two groups. The significance level was considered as P≤0.05. </w:t>
      </w:r>
    </w:p>
    <w:p w14:paraId="28D3CC42" w14:textId="77777777" w:rsidR="00C5215D" w:rsidRPr="005A72B5" w:rsidRDefault="00C5215D"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RESULTS</w:t>
      </w:r>
    </w:p>
    <w:p w14:paraId="604FD684"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In this study, 255 patients undergoing P-PCI were evaluated in terms of platelet count and LVA formation. The demographic information of the patients along with their history of </w:t>
      </w:r>
      <w:r w:rsidRPr="005A72B5">
        <w:rPr>
          <w:rFonts w:asciiTheme="majorBidi" w:hAnsiTheme="majorBidi" w:cstheme="majorBidi"/>
          <w:sz w:val="24"/>
          <w:szCs w:val="24"/>
          <w:lang w:bidi="ar-SA"/>
        </w:rPr>
        <w:lastRenderedPageBreak/>
        <w:t xml:space="preserve">previous diseases </w:t>
      </w:r>
      <w:proofErr w:type="gramStart"/>
      <w:r w:rsidRPr="005A72B5">
        <w:rPr>
          <w:rFonts w:asciiTheme="majorBidi" w:hAnsiTheme="majorBidi" w:cstheme="majorBidi"/>
          <w:sz w:val="24"/>
          <w:szCs w:val="24"/>
          <w:lang w:bidi="ar-SA"/>
        </w:rPr>
        <w:t>are</w:t>
      </w:r>
      <w:proofErr w:type="gramEnd"/>
      <w:r w:rsidRPr="005A72B5">
        <w:rPr>
          <w:rFonts w:asciiTheme="majorBidi" w:hAnsiTheme="majorBidi" w:cstheme="majorBidi"/>
          <w:sz w:val="24"/>
          <w:szCs w:val="24"/>
          <w:lang w:bidi="ar-SA"/>
        </w:rPr>
        <w:t xml:space="preserve"> summarized in Table 1. Moreover, data on LVA formation 10 months after P-PCI are reported in Table 2.</w:t>
      </w:r>
    </w:p>
    <w:p w14:paraId="71E57E49"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Table 1- The demographic information and underlying diseases of the subjects under study</w:t>
      </w:r>
    </w:p>
    <w:tbl>
      <w:tblPr>
        <w:tblStyle w:val="GridTable1Light1"/>
        <w:tblpPr w:leftFromText="180" w:rightFromText="180" w:vertAnchor="text" w:tblpXSpec="center" w:tblpY="1"/>
        <w:tblW w:w="8982" w:type="dxa"/>
        <w:tblLayout w:type="fixed"/>
        <w:tblLook w:val="0000" w:firstRow="0" w:lastRow="0" w:firstColumn="0" w:lastColumn="0" w:noHBand="0" w:noVBand="0"/>
      </w:tblPr>
      <w:tblGrid>
        <w:gridCol w:w="4144"/>
        <w:gridCol w:w="2614"/>
        <w:gridCol w:w="2224"/>
      </w:tblGrid>
      <w:tr w:rsidR="00633930" w:rsidRPr="005A72B5" w14:paraId="44FF0180" w14:textId="77777777" w:rsidTr="00633930">
        <w:tc>
          <w:tcPr>
            <w:tcW w:w="4144" w:type="dxa"/>
          </w:tcPr>
          <w:p w14:paraId="0C2AABC9" w14:textId="77777777" w:rsidR="00633930" w:rsidRPr="005A72B5" w:rsidRDefault="00633930" w:rsidP="00A268FE">
            <w:pPr>
              <w:autoSpaceDE w:val="0"/>
              <w:autoSpaceDN w:val="0"/>
              <w:bidi w:val="0"/>
              <w:adjustRightInd w:val="0"/>
              <w:spacing w:line="360" w:lineRule="auto"/>
              <w:jc w:val="center"/>
              <w:rPr>
                <w:rFonts w:asciiTheme="majorBidi" w:eastAsia="Calibri" w:hAnsiTheme="majorBidi" w:cstheme="majorBidi"/>
                <w:color w:val="0D0D0D" w:themeColor="text1" w:themeTint="F2"/>
                <w:sz w:val="24"/>
                <w:szCs w:val="24"/>
              </w:rPr>
            </w:pPr>
          </w:p>
        </w:tc>
        <w:tc>
          <w:tcPr>
            <w:tcW w:w="2614" w:type="dxa"/>
          </w:tcPr>
          <w:p w14:paraId="5C0CFBD6"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Number</w:t>
            </w:r>
          </w:p>
        </w:tc>
        <w:tc>
          <w:tcPr>
            <w:tcW w:w="2224" w:type="dxa"/>
          </w:tcPr>
          <w:p w14:paraId="792614F5"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Percentage</w:t>
            </w:r>
          </w:p>
        </w:tc>
      </w:tr>
      <w:tr w:rsidR="00633930" w:rsidRPr="005A72B5" w14:paraId="6626892C" w14:textId="77777777" w:rsidTr="00BD65EA">
        <w:tc>
          <w:tcPr>
            <w:tcW w:w="8982" w:type="dxa"/>
            <w:gridSpan w:val="3"/>
          </w:tcPr>
          <w:p w14:paraId="05E96724" w14:textId="77777777" w:rsidR="00633930" w:rsidRPr="00633930" w:rsidRDefault="00633930" w:rsidP="00A268FE">
            <w:pPr>
              <w:autoSpaceDE w:val="0"/>
              <w:autoSpaceDN w:val="0"/>
              <w:bidi w:val="0"/>
              <w:adjustRightInd w:val="0"/>
              <w:spacing w:line="360" w:lineRule="auto"/>
              <w:ind w:right="60"/>
              <w:rPr>
                <w:rFonts w:asciiTheme="majorBidi" w:eastAsia="Calibri" w:hAnsiTheme="majorBidi" w:cstheme="majorBidi"/>
                <w:b/>
                <w:bCs/>
                <w:color w:val="0D0D0D" w:themeColor="text1" w:themeTint="F2"/>
                <w:sz w:val="24"/>
                <w:szCs w:val="24"/>
              </w:rPr>
            </w:pPr>
            <w:r w:rsidRPr="00633930">
              <w:rPr>
                <w:rFonts w:asciiTheme="majorBidi" w:eastAsia="Times New Roman" w:hAnsiTheme="majorBidi" w:cstheme="majorBidi"/>
                <w:b/>
                <w:bCs/>
                <w:color w:val="0D0D0D" w:themeColor="text1" w:themeTint="F2"/>
                <w:sz w:val="24"/>
                <w:szCs w:val="24"/>
              </w:rPr>
              <w:t>Age Ranges</w:t>
            </w:r>
          </w:p>
        </w:tc>
      </w:tr>
      <w:tr w:rsidR="00633930" w:rsidRPr="005A72B5" w14:paraId="7E92F04C" w14:textId="77777777" w:rsidTr="00633930">
        <w:tc>
          <w:tcPr>
            <w:tcW w:w="4144" w:type="dxa"/>
          </w:tcPr>
          <w:p w14:paraId="6F69468E"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&lt;50</w:t>
            </w:r>
          </w:p>
        </w:tc>
        <w:tc>
          <w:tcPr>
            <w:tcW w:w="2614" w:type="dxa"/>
            <w:vAlign w:val="center"/>
          </w:tcPr>
          <w:p w14:paraId="34C4B32B"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37</w:t>
            </w:r>
          </w:p>
        </w:tc>
        <w:tc>
          <w:tcPr>
            <w:tcW w:w="2224" w:type="dxa"/>
            <w:vAlign w:val="center"/>
          </w:tcPr>
          <w:p w14:paraId="791A3C94"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14.5%</w:t>
            </w:r>
          </w:p>
        </w:tc>
      </w:tr>
      <w:tr w:rsidR="00633930" w:rsidRPr="005A72B5" w14:paraId="31B7ADDD" w14:textId="77777777" w:rsidTr="00633930">
        <w:tc>
          <w:tcPr>
            <w:tcW w:w="4144" w:type="dxa"/>
          </w:tcPr>
          <w:p w14:paraId="6619A199"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51-60</w:t>
            </w:r>
          </w:p>
        </w:tc>
        <w:tc>
          <w:tcPr>
            <w:tcW w:w="2614" w:type="dxa"/>
            <w:vAlign w:val="center"/>
          </w:tcPr>
          <w:p w14:paraId="00594C84"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80</w:t>
            </w:r>
          </w:p>
        </w:tc>
        <w:tc>
          <w:tcPr>
            <w:tcW w:w="2224" w:type="dxa"/>
            <w:vAlign w:val="center"/>
          </w:tcPr>
          <w:p w14:paraId="7CD926F0"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31.4%</w:t>
            </w:r>
          </w:p>
        </w:tc>
      </w:tr>
      <w:tr w:rsidR="00633930" w:rsidRPr="005A72B5" w14:paraId="4187FE9C" w14:textId="77777777" w:rsidTr="00633930">
        <w:tc>
          <w:tcPr>
            <w:tcW w:w="4144" w:type="dxa"/>
          </w:tcPr>
          <w:p w14:paraId="6E95D611"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61-70</w:t>
            </w:r>
          </w:p>
        </w:tc>
        <w:tc>
          <w:tcPr>
            <w:tcW w:w="2614" w:type="dxa"/>
            <w:vAlign w:val="center"/>
          </w:tcPr>
          <w:p w14:paraId="054241C4"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84</w:t>
            </w:r>
          </w:p>
        </w:tc>
        <w:tc>
          <w:tcPr>
            <w:tcW w:w="2224" w:type="dxa"/>
            <w:vAlign w:val="center"/>
          </w:tcPr>
          <w:p w14:paraId="59E1ABC8"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32.9%</w:t>
            </w:r>
          </w:p>
        </w:tc>
      </w:tr>
      <w:tr w:rsidR="00633930" w:rsidRPr="005A72B5" w14:paraId="31CDC9F5" w14:textId="77777777" w:rsidTr="00633930">
        <w:tc>
          <w:tcPr>
            <w:tcW w:w="4144" w:type="dxa"/>
          </w:tcPr>
          <w:p w14:paraId="193F702E"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&gt;70</w:t>
            </w:r>
          </w:p>
        </w:tc>
        <w:tc>
          <w:tcPr>
            <w:tcW w:w="2614" w:type="dxa"/>
            <w:vAlign w:val="center"/>
          </w:tcPr>
          <w:p w14:paraId="31BF4F75"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54</w:t>
            </w:r>
          </w:p>
        </w:tc>
        <w:tc>
          <w:tcPr>
            <w:tcW w:w="2224" w:type="dxa"/>
            <w:vAlign w:val="center"/>
          </w:tcPr>
          <w:p w14:paraId="1357FE91"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21.2%</w:t>
            </w:r>
          </w:p>
        </w:tc>
      </w:tr>
      <w:tr w:rsidR="00633930" w:rsidRPr="005A72B5" w14:paraId="13D4635F" w14:textId="77777777" w:rsidTr="00633930">
        <w:tc>
          <w:tcPr>
            <w:tcW w:w="4144" w:type="dxa"/>
          </w:tcPr>
          <w:p w14:paraId="3EC98835"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Age: Mean ± SD (max-min)</w:t>
            </w:r>
          </w:p>
        </w:tc>
        <w:tc>
          <w:tcPr>
            <w:tcW w:w="4838" w:type="dxa"/>
            <w:gridSpan w:val="2"/>
            <w:vAlign w:val="center"/>
          </w:tcPr>
          <w:p w14:paraId="547B28AD"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61.71±10.32 (36.0-86.0)</w:t>
            </w:r>
          </w:p>
        </w:tc>
      </w:tr>
      <w:tr w:rsidR="00633930" w:rsidRPr="005A72B5" w14:paraId="2ED86EE3" w14:textId="77777777" w:rsidTr="0013408A">
        <w:tc>
          <w:tcPr>
            <w:tcW w:w="8982" w:type="dxa"/>
            <w:gridSpan w:val="3"/>
          </w:tcPr>
          <w:p w14:paraId="55F4E3EA" w14:textId="77777777" w:rsidR="00633930" w:rsidRPr="00633930" w:rsidRDefault="00633930" w:rsidP="00A268FE">
            <w:pPr>
              <w:autoSpaceDE w:val="0"/>
              <w:autoSpaceDN w:val="0"/>
              <w:bidi w:val="0"/>
              <w:adjustRightInd w:val="0"/>
              <w:spacing w:line="360" w:lineRule="auto"/>
              <w:ind w:right="60"/>
              <w:rPr>
                <w:rFonts w:asciiTheme="majorBidi" w:eastAsia="Calibri" w:hAnsiTheme="majorBidi" w:cstheme="majorBidi"/>
                <w:b/>
                <w:bCs/>
                <w:color w:val="0D0D0D" w:themeColor="text1" w:themeTint="F2"/>
                <w:sz w:val="24"/>
                <w:szCs w:val="24"/>
              </w:rPr>
            </w:pPr>
            <w:r w:rsidRPr="00633930">
              <w:rPr>
                <w:rFonts w:asciiTheme="majorBidi" w:eastAsia="Calibri" w:hAnsiTheme="majorBidi" w:cstheme="majorBidi"/>
                <w:b/>
                <w:bCs/>
                <w:color w:val="0D0D0D" w:themeColor="text1" w:themeTint="F2"/>
                <w:sz w:val="24"/>
                <w:szCs w:val="24"/>
              </w:rPr>
              <w:t>Sex</w:t>
            </w:r>
          </w:p>
        </w:tc>
      </w:tr>
      <w:tr w:rsidR="00633930" w:rsidRPr="005A72B5" w14:paraId="6F4CE210" w14:textId="77777777" w:rsidTr="00633930">
        <w:tc>
          <w:tcPr>
            <w:tcW w:w="4144" w:type="dxa"/>
          </w:tcPr>
          <w:p w14:paraId="4022BD00"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Male</w:t>
            </w:r>
          </w:p>
        </w:tc>
        <w:tc>
          <w:tcPr>
            <w:tcW w:w="2614" w:type="dxa"/>
            <w:vAlign w:val="center"/>
          </w:tcPr>
          <w:p w14:paraId="0FB98E3B"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179</w:t>
            </w:r>
          </w:p>
        </w:tc>
        <w:tc>
          <w:tcPr>
            <w:tcW w:w="2224" w:type="dxa"/>
            <w:vAlign w:val="center"/>
          </w:tcPr>
          <w:p w14:paraId="5C92301E"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70.2%</w:t>
            </w:r>
          </w:p>
        </w:tc>
      </w:tr>
      <w:tr w:rsidR="00633930" w:rsidRPr="005A72B5" w14:paraId="514776AA" w14:textId="77777777" w:rsidTr="00633930">
        <w:tc>
          <w:tcPr>
            <w:tcW w:w="4144" w:type="dxa"/>
          </w:tcPr>
          <w:p w14:paraId="7389609E"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Female</w:t>
            </w:r>
          </w:p>
        </w:tc>
        <w:tc>
          <w:tcPr>
            <w:tcW w:w="2614" w:type="dxa"/>
            <w:vAlign w:val="center"/>
          </w:tcPr>
          <w:p w14:paraId="784C814F"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76</w:t>
            </w:r>
          </w:p>
        </w:tc>
        <w:tc>
          <w:tcPr>
            <w:tcW w:w="2224" w:type="dxa"/>
            <w:vAlign w:val="center"/>
          </w:tcPr>
          <w:p w14:paraId="2A09B3E7"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29.8%</w:t>
            </w:r>
          </w:p>
        </w:tc>
      </w:tr>
      <w:tr w:rsidR="00633930" w:rsidRPr="005A72B5" w14:paraId="4695A101" w14:textId="77777777" w:rsidTr="005D3440">
        <w:tc>
          <w:tcPr>
            <w:tcW w:w="8982" w:type="dxa"/>
            <w:gridSpan w:val="3"/>
          </w:tcPr>
          <w:p w14:paraId="3DA0381E" w14:textId="77777777" w:rsidR="00633930" w:rsidRPr="00633930" w:rsidRDefault="00633930" w:rsidP="00A268FE">
            <w:pPr>
              <w:autoSpaceDE w:val="0"/>
              <w:autoSpaceDN w:val="0"/>
              <w:bidi w:val="0"/>
              <w:adjustRightInd w:val="0"/>
              <w:spacing w:line="360" w:lineRule="auto"/>
              <w:ind w:right="60"/>
              <w:rPr>
                <w:rFonts w:asciiTheme="majorBidi" w:eastAsia="Calibri" w:hAnsiTheme="majorBidi" w:cstheme="majorBidi"/>
                <w:b/>
                <w:bCs/>
                <w:color w:val="0D0D0D" w:themeColor="text1" w:themeTint="F2"/>
                <w:sz w:val="24"/>
                <w:szCs w:val="24"/>
              </w:rPr>
            </w:pPr>
            <w:r w:rsidRPr="00633930">
              <w:rPr>
                <w:rFonts w:asciiTheme="majorBidi" w:hAnsiTheme="majorBidi" w:cstheme="majorBidi"/>
                <w:b/>
                <w:bCs/>
                <w:color w:val="0D0D0D" w:themeColor="text1" w:themeTint="F2"/>
                <w:sz w:val="24"/>
                <w:szCs w:val="24"/>
              </w:rPr>
              <w:t>Hypertension</w:t>
            </w:r>
          </w:p>
        </w:tc>
      </w:tr>
      <w:tr w:rsidR="00633930" w:rsidRPr="005A72B5" w14:paraId="38D7D862" w14:textId="77777777" w:rsidTr="00633930">
        <w:tc>
          <w:tcPr>
            <w:tcW w:w="4144" w:type="dxa"/>
          </w:tcPr>
          <w:p w14:paraId="754E6F7D"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Yes</w:t>
            </w:r>
          </w:p>
        </w:tc>
        <w:tc>
          <w:tcPr>
            <w:tcW w:w="2614" w:type="dxa"/>
            <w:vAlign w:val="center"/>
          </w:tcPr>
          <w:p w14:paraId="5D17FD3A"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167</w:t>
            </w:r>
          </w:p>
        </w:tc>
        <w:tc>
          <w:tcPr>
            <w:tcW w:w="2224" w:type="dxa"/>
            <w:vAlign w:val="center"/>
          </w:tcPr>
          <w:p w14:paraId="7C5A8CC8"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65.5%</w:t>
            </w:r>
          </w:p>
        </w:tc>
      </w:tr>
      <w:tr w:rsidR="00633930" w:rsidRPr="005A72B5" w14:paraId="46CDC50E" w14:textId="77777777" w:rsidTr="00633930">
        <w:tc>
          <w:tcPr>
            <w:tcW w:w="4144" w:type="dxa"/>
          </w:tcPr>
          <w:p w14:paraId="4B94E7AA"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No</w:t>
            </w:r>
          </w:p>
        </w:tc>
        <w:tc>
          <w:tcPr>
            <w:tcW w:w="2614" w:type="dxa"/>
            <w:vAlign w:val="center"/>
          </w:tcPr>
          <w:p w14:paraId="2A884A36"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88</w:t>
            </w:r>
          </w:p>
        </w:tc>
        <w:tc>
          <w:tcPr>
            <w:tcW w:w="2224" w:type="dxa"/>
            <w:vAlign w:val="center"/>
          </w:tcPr>
          <w:p w14:paraId="4993D135"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34.5%</w:t>
            </w:r>
          </w:p>
        </w:tc>
      </w:tr>
      <w:tr w:rsidR="00633930" w:rsidRPr="005A72B5" w14:paraId="25C15ECE" w14:textId="77777777" w:rsidTr="008D3488">
        <w:tc>
          <w:tcPr>
            <w:tcW w:w="8982" w:type="dxa"/>
            <w:gridSpan w:val="3"/>
          </w:tcPr>
          <w:p w14:paraId="5F0D8C04" w14:textId="77777777" w:rsidR="00633930" w:rsidRPr="00633930" w:rsidRDefault="00633930" w:rsidP="00A268FE">
            <w:pPr>
              <w:autoSpaceDE w:val="0"/>
              <w:autoSpaceDN w:val="0"/>
              <w:bidi w:val="0"/>
              <w:adjustRightInd w:val="0"/>
              <w:spacing w:line="360" w:lineRule="auto"/>
              <w:ind w:right="60"/>
              <w:rPr>
                <w:rFonts w:asciiTheme="majorBidi" w:eastAsia="Calibri" w:hAnsiTheme="majorBidi" w:cstheme="majorBidi"/>
                <w:b/>
                <w:bCs/>
                <w:color w:val="0D0D0D" w:themeColor="text1" w:themeTint="F2"/>
                <w:sz w:val="24"/>
                <w:szCs w:val="24"/>
              </w:rPr>
            </w:pPr>
            <w:r w:rsidRPr="00633930">
              <w:rPr>
                <w:rFonts w:asciiTheme="majorBidi" w:hAnsiTheme="majorBidi" w:cstheme="majorBidi"/>
                <w:b/>
                <w:bCs/>
                <w:color w:val="0D0D0D" w:themeColor="text1" w:themeTint="F2"/>
                <w:sz w:val="24"/>
                <w:szCs w:val="24"/>
              </w:rPr>
              <w:t>Diabetes mellitus</w:t>
            </w:r>
          </w:p>
        </w:tc>
      </w:tr>
      <w:tr w:rsidR="00633930" w:rsidRPr="005A72B5" w14:paraId="2CFB5D63" w14:textId="77777777" w:rsidTr="00633930">
        <w:tc>
          <w:tcPr>
            <w:tcW w:w="4144" w:type="dxa"/>
          </w:tcPr>
          <w:p w14:paraId="065EC727"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Yes</w:t>
            </w:r>
          </w:p>
        </w:tc>
        <w:tc>
          <w:tcPr>
            <w:tcW w:w="2614" w:type="dxa"/>
            <w:vAlign w:val="center"/>
          </w:tcPr>
          <w:p w14:paraId="7D0ACD20"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114</w:t>
            </w:r>
          </w:p>
        </w:tc>
        <w:tc>
          <w:tcPr>
            <w:tcW w:w="2224" w:type="dxa"/>
            <w:vAlign w:val="center"/>
          </w:tcPr>
          <w:p w14:paraId="226C3A0A"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44.7%</w:t>
            </w:r>
          </w:p>
        </w:tc>
      </w:tr>
      <w:tr w:rsidR="00633930" w:rsidRPr="005A72B5" w14:paraId="2756921D" w14:textId="77777777" w:rsidTr="00633930">
        <w:tc>
          <w:tcPr>
            <w:tcW w:w="4144" w:type="dxa"/>
          </w:tcPr>
          <w:p w14:paraId="423A6AF1" w14:textId="77777777" w:rsidR="00633930" w:rsidRPr="005A72B5" w:rsidRDefault="00633930" w:rsidP="00A268FE">
            <w:pPr>
              <w:autoSpaceDE w:val="0"/>
              <w:autoSpaceDN w:val="0"/>
              <w:bidi w:val="0"/>
              <w:adjustRightInd w:val="0"/>
              <w:spacing w:line="360" w:lineRule="auto"/>
              <w:ind w:right="60"/>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No</w:t>
            </w:r>
          </w:p>
        </w:tc>
        <w:tc>
          <w:tcPr>
            <w:tcW w:w="2614" w:type="dxa"/>
            <w:vAlign w:val="center"/>
          </w:tcPr>
          <w:p w14:paraId="5625806F"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141</w:t>
            </w:r>
          </w:p>
        </w:tc>
        <w:tc>
          <w:tcPr>
            <w:tcW w:w="2224" w:type="dxa"/>
            <w:vAlign w:val="center"/>
          </w:tcPr>
          <w:p w14:paraId="77BCF6D7" w14:textId="77777777" w:rsidR="00633930" w:rsidRPr="005A72B5" w:rsidRDefault="00633930" w:rsidP="00A268FE">
            <w:pPr>
              <w:autoSpaceDE w:val="0"/>
              <w:autoSpaceDN w:val="0"/>
              <w:bidi w:val="0"/>
              <w:adjustRightInd w:val="0"/>
              <w:spacing w:line="360" w:lineRule="auto"/>
              <w:ind w:right="60"/>
              <w:jc w:val="center"/>
              <w:rPr>
                <w:rFonts w:asciiTheme="majorBidi" w:eastAsia="Calibri" w:hAnsiTheme="majorBidi" w:cstheme="majorBidi"/>
                <w:color w:val="0D0D0D" w:themeColor="text1" w:themeTint="F2"/>
                <w:sz w:val="24"/>
                <w:szCs w:val="24"/>
              </w:rPr>
            </w:pPr>
            <w:r w:rsidRPr="005A72B5">
              <w:rPr>
                <w:rFonts w:asciiTheme="majorBidi" w:eastAsia="Calibri" w:hAnsiTheme="majorBidi" w:cstheme="majorBidi"/>
                <w:color w:val="0D0D0D" w:themeColor="text1" w:themeTint="F2"/>
                <w:sz w:val="24"/>
                <w:szCs w:val="24"/>
              </w:rPr>
              <w:t>55.3%</w:t>
            </w:r>
          </w:p>
        </w:tc>
      </w:tr>
    </w:tbl>
    <w:p w14:paraId="3F302DB0"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br w:type="textWrapping" w:clear="all"/>
      </w:r>
    </w:p>
    <w:p w14:paraId="365599E5"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Table 2- The percentage of LVA in the patients after P-PCI</w:t>
      </w:r>
    </w:p>
    <w:tbl>
      <w:tblPr>
        <w:tblStyle w:val="GridTable1Light1"/>
        <w:tblW w:w="9108" w:type="dxa"/>
        <w:tblLayout w:type="fixed"/>
        <w:tblLook w:val="0000" w:firstRow="0" w:lastRow="0" w:firstColumn="0" w:lastColumn="0" w:noHBand="0" w:noVBand="0"/>
      </w:tblPr>
      <w:tblGrid>
        <w:gridCol w:w="2312"/>
        <w:gridCol w:w="1529"/>
        <w:gridCol w:w="1720"/>
        <w:gridCol w:w="1529"/>
        <w:gridCol w:w="2018"/>
      </w:tblGrid>
      <w:tr w:rsidR="00A268FE" w:rsidRPr="005A72B5" w14:paraId="2A96AF38" w14:textId="77777777" w:rsidTr="008809DB">
        <w:trPr>
          <w:trHeight w:val="165"/>
        </w:trPr>
        <w:tc>
          <w:tcPr>
            <w:tcW w:w="2312" w:type="dxa"/>
            <w:vMerge w:val="restart"/>
            <w:vAlign w:val="center"/>
          </w:tcPr>
          <w:p w14:paraId="0CFDC1AF" w14:textId="77777777" w:rsidR="00A268FE" w:rsidRPr="00A268FE" w:rsidRDefault="00A268FE" w:rsidP="00A268FE">
            <w:pPr>
              <w:autoSpaceDE w:val="0"/>
              <w:autoSpaceDN w:val="0"/>
              <w:adjustRightInd w:val="0"/>
              <w:spacing w:line="360" w:lineRule="auto"/>
              <w:jc w:val="right"/>
              <w:rPr>
                <w:rFonts w:asciiTheme="majorBidi" w:eastAsia="Calibri" w:hAnsiTheme="majorBidi" w:cstheme="majorBidi"/>
                <w:b/>
                <w:bCs/>
                <w:color w:val="000000" w:themeColor="text1"/>
                <w:sz w:val="24"/>
                <w:szCs w:val="24"/>
              </w:rPr>
            </w:pPr>
            <w:r w:rsidRPr="00A268FE">
              <w:rPr>
                <w:rFonts w:asciiTheme="majorBidi" w:eastAsia="Calibri" w:hAnsiTheme="majorBidi" w:cstheme="majorBidi"/>
                <w:b/>
                <w:bCs/>
                <w:color w:val="000000" w:themeColor="text1"/>
                <w:sz w:val="24"/>
                <w:szCs w:val="24"/>
              </w:rPr>
              <w:t>Left Ventricular Aneurysm</w:t>
            </w:r>
          </w:p>
        </w:tc>
        <w:tc>
          <w:tcPr>
            <w:tcW w:w="1529" w:type="dxa"/>
            <w:vMerge w:val="restart"/>
            <w:vAlign w:val="center"/>
          </w:tcPr>
          <w:p w14:paraId="7DFC01BB" w14:textId="77777777" w:rsidR="00A268FE" w:rsidRPr="00A268FE" w:rsidRDefault="00A268FE" w:rsidP="00A268FE">
            <w:pPr>
              <w:autoSpaceDE w:val="0"/>
              <w:autoSpaceDN w:val="0"/>
              <w:bidi w:val="0"/>
              <w:adjustRightInd w:val="0"/>
              <w:spacing w:line="360" w:lineRule="auto"/>
              <w:ind w:right="60"/>
              <w:jc w:val="center"/>
              <w:rPr>
                <w:rFonts w:asciiTheme="majorBidi" w:eastAsia="Calibri" w:hAnsiTheme="majorBidi" w:cstheme="majorBidi"/>
                <w:b/>
                <w:bCs/>
                <w:color w:val="000000" w:themeColor="text1"/>
                <w:sz w:val="24"/>
                <w:szCs w:val="24"/>
              </w:rPr>
            </w:pPr>
            <w:r w:rsidRPr="00A268FE">
              <w:rPr>
                <w:rFonts w:asciiTheme="majorBidi" w:eastAsia="Calibri" w:hAnsiTheme="majorBidi" w:cstheme="majorBidi"/>
                <w:b/>
                <w:bCs/>
                <w:color w:val="000000" w:themeColor="text1"/>
                <w:sz w:val="24"/>
                <w:szCs w:val="24"/>
              </w:rPr>
              <w:t>Number</w:t>
            </w:r>
          </w:p>
        </w:tc>
        <w:tc>
          <w:tcPr>
            <w:tcW w:w="1720" w:type="dxa"/>
            <w:vMerge w:val="restart"/>
            <w:vAlign w:val="center"/>
          </w:tcPr>
          <w:p w14:paraId="47DB54C0" w14:textId="77777777" w:rsidR="00A268FE" w:rsidRPr="00A268FE" w:rsidRDefault="00A268FE" w:rsidP="00A268FE">
            <w:pPr>
              <w:autoSpaceDE w:val="0"/>
              <w:autoSpaceDN w:val="0"/>
              <w:bidi w:val="0"/>
              <w:adjustRightInd w:val="0"/>
              <w:spacing w:line="360" w:lineRule="auto"/>
              <w:ind w:right="60"/>
              <w:jc w:val="center"/>
              <w:rPr>
                <w:rFonts w:asciiTheme="majorBidi" w:eastAsia="Calibri" w:hAnsiTheme="majorBidi" w:cstheme="majorBidi"/>
                <w:b/>
                <w:bCs/>
                <w:color w:val="000000" w:themeColor="text1"/>
                <w:sz w:val="24"/>
                <w:szCs w:val="24"/>
              </w:rPr>
            </w:pPr>
            <w:r w:rsidRPr="00A268FE">
              <w:rPr>
                <w:rFonts w:asciiTheme="majorBidi" w:eastAsia="Calibri" w:hAnsiTheme="majorBidi" w:cstheme="majorBidi"/>
                <w:b/>
                <w:bCs/>
                <w:color w:val="000000" w:themeColor="text1"/>
                <w:sz w:val="24"/>
                <w:szCs w:val="24"/>
              </w:rPr>
              <w:t>Percentage</w:t>
            </w:r>
          </w:p>
        </w:tc>
        <w:tc>
          <w:tcPr>
            <w:tcW w:w="3547" w:type="dxa"/>
            <w:gridSpan w:val="2"/>
          </w:tcPr>
          <w:p w14:paraId="444F204B" w14:textId="77777777" w:rsidR="00A268FE" w:rsidRPr="00A268FE" w:rsidRDefault="00A268FE" w:rsidP="00A268FE">
            <w:pPr>
              <w:autoSpaceDE w:val="0"/>
              <w:autoSpaceDN w:val="0"/>
              <w:adjustRightInd w:val="0"/>
              <w:spacing w:line="360" w:lineRule="auto"/>
              <w:ind w:right="60"/>
              <w:jc w:val="center"/>
              <w:rPr>
                <w:rFonts w:asciiTheme="majorBidi" w:eastAsia="Calibri" w:hAnsiTheme="majorBidi" w:cstheme="majorBidi"/>
                <w:b/>
                <w:bCs/>
                <w:color w:val="000000" w:themeColor="text1"/>
                <w:sz w:val="24"/>
                <w:szCs w:val="24"/>
                <w:rtl/>
              </w:rPr>
            </w:pPr>
            <w:r w:rsidRPr="00A268FE">
              <w:rPr>
                <w:rFonts w:asciiTheme="majorBidi" w:eastAsia="Calibri" w:hAnsiTheme="majorBidi" w:cstheme="majorBidi"/>
                <w:b/>
                <w:bCs/>
                <w:color w:val="000000" w:themeColor="text1"/>
                <w:sz w:val="24"/>
                <w:szCs w:val="24"/>
              </w:rPr>
              <w:t>95% confidence interval</w:t>
            </w:r>
          </w:p>
        </w:tc>
      </w:tr>
      <w:tr w:rsidR="00A268FE" w:rsidRPr="005A72B5" w14:paraId="743DB8EA" w14:textId="77777777" w:rsidTr="008809DB">
        <w:trPr>
          <w:trHeight w:val="150"/>
        </w:trPr>
        <w:tc>
          <w:tcPr>
            <w:tcW w:w="2312" w:type="dxa"/>
            <w:vMerge/>
          </w:tcPr>
          <w:p w14:paraId="71CCC63E" w14:textId="77777777" w:rsidR="00A268FE" w:rsidRPr="00A268FE" w:rsidRDefault="00A268FE" w:rsidP="00A268FE">
            <w:pPr>
              <w:autoSpaceDE w:val="0"/>
              <w:autoSpaceDN w:val="0"/>
              <w:adjustRightInd w:val="0"/>
              <w:spacing w:line="360" w:lineRule="auto"/>
              <w:jc w:val="center"/>
              <w:rPr>
                <w:rFonts w:asciiTheme="majorBidi" w:eastAsia="Calibri" w:hAnsiTheme="majorBidi" w:cstheme="majorBidi"/>
                <w:b/>
                <w:bCs/>
                <w:color w:val="000000" w:themeColor="text1"/>
                <w:sz w:val="24"/>
                <w:szCs w:val="24"/>
              </w:rPr>
            </w:pPr>
          </w:p>
        </w:tc>
        <w:tc>
          <w:tcPr>
            <w:tcW w:w="1529" w:type="dxa"/>
            <w:vMerge/>
          </w:tcPr>
          <w:p w14:paraId="57DE1CA0" w14:textId="77777777" w:rsidR="00A268FE" w:rsidRPr="00A268FE" w:rsidRDefault="00A268FE" w:rsidP="00A268FE">
            <w:pPr>
              <w:autoSpaceDE w:val="0"/>
              <w:autoSpaceDN w:val="0"/>
              <w:adjustRightInd w:val="0"/>
              <w:spacing w:line="360" w:lineRule="auto"/>
              <w:ind w:right="60"/>
              <w:jc w:val="center"/>
              <w:rPr>
                <w:rFonts w:asciiTheme="majorBidi" w:eastAsia="Calibri" w:hAnsiTheme="majorBidi" w:cstheme="majorBidi"/>
                <w:b/>
                <w:bCs/>
                <w:color w:val="000000" w:themeColor="text1"/>
                <w:sz w:val="24"/>
                <w:szCs w:val="24"/>
                <w:rtl/>
              </w:rPr>
            </w:pPr>
          </w:p>
        </w:tc>
        <w:tc>
          <w:tcPr>
            <w:tcW w:w="1720" w:type="dxa"/>
            <w:vMerge/>
          </w:tcPr>
          <w:p w14:paraId="7EFD19BC" w14:textId="77777777" w:rsidR="00A268FE" w:rsidRPr="00A268FE" w:rsidRDefault="00A268FE" w:rsidP="00A268FE">
            <w:pPr>
              <w:autoSpaceDE w:val="0"/>
              <w:autoSpaceDN w:val="0"/>
              <w:adjustRightInd w:val="0"/>
              <w:spacing w:line="360" w:lineRule="auto"/>
              <w:ind w:right="60"/>
              <w:jc w:val="center"/>
              <w:rPr>
                <w:rFonts w:asciiTheme="majorBidi" w:eastAsia="Calibri" w:hAnsiTheme="majorBidi" w:cstheme="majorBidi"/>
                <w:b/>
                <w:bCs/>
                <w:color w:val="000000" w:themeColor="text1"/>
                <w:sz w:val="24"/>
                <w:szCs w:val="24"/>
                <w:rtl/>
              </w:rPr>
            </w:pPr>
          </w:p>
        </w:tc>
        <w:tc>
          <w:tcPr>
            <w:tcW w:w="1529" w:type="dxa"/>
          </w:tcPr>
          <w:p w14:paraId="4ED14BEA" w14:textId="77777777" w:rsidR="00A268FE" w:rsidRPr="00A268FE" w:rsidRDefault="00A268FE" w:rsidP="00A268FE">
            <w:pPr>
              <w:autoSpaceDE w:val="0"/>
              <w:autoSpaceDN w:val="0"/>
              <w:adjustRightInd w:val="0"/>
              <w:spacing w:line="360" w:lineRule="auto"/>
              <w:ind w:right="60"/>
              <w:jc w:val="right"/>
              <w:rPr>
                <w:rFonts w:asciiTheme="majorBidi" w:eastAsia="Calibri" w:hAnsiTheme="majorBidi" w:cstheme="majorBidi"/>
                <w:b/>
                <w:bCs/>
                <w:color w:val="000000" w:themeColor="text1"/>
                <w:sz w:val="24"/>
                <w:szCs w:val="24"/>
              </w:rPr>
            </w:pPr>
            <w:r w:rsidRPr="00A268FE">
              <w:rPr>
                <w:rFonts w:asciiTheme="majorBidi" w:eastAsia="Calibri" w:hAnsiTheme="majorBidi" w:cstheme="majorBidi"/>
                <w:b/>
                <w:bCs/>
                <w:color w:val="000000" w:themeColor="text1"/>
                <w:sz w:val="24"/>
                <w:szCs w:val="24"/>
              </w:rPr>
              <w:t>Lower Limit</w:t>
            </w:r>
          </w:p>
        </w:tc>
        <w:tc>
          <w:tcPr>
            <w:tcW w:w="2018" w:type="dxa"/>
          </w:tcPr>
          <w:p w14:paraId="4E5A2B58" w14:textId="77777777" w:rsidR="00A268FE" w:rsidRPr="00A268FE" w:rsidRDefault="00A268FE" w:rsidP="00A268FE">
            <w:pPr>
              <w:autoSpaceDE w:val="0"/>
              <w:autoSpaceDN w:val="0"/>
              <w:adjustRightInd w:val="0"/>
              <w:spacing w:line="360" w:lineRule="auto"/>
              <w:ind w:right="60"/>
              <w:jc w:val="right"/>
              <w:rPr>
                <w:rFonts w:asciiTheme="majorBidi" w:eastAsia="Calibri" w:hAnsiTheme="majorBidi" w:cstheme="majorBidi"/>
                <w:b/>
                <w:bCs/>
                <w:color w:val="000000" w:themeColor="text1"/>
                <w:sz w:val="24"/>
                <w:szCs w:val="24"/>
              </w:rPr>
            </w:pPr>
            <w:r w:rsidRPr="00A268FE">
              <w:rPr>
                <w:rFonts w:asciiTheme="majorBidi" w:eastAsia="Calibri" w:hAnsiTheme="majorBidi" w:cstheme="majorBidi"/>
                <w:b/>
                <w:bCs/>
                <w:color w:val="000000" w:themeColor="text1"/>
                <w:sz w:val="24"/>
                <w:szCs w:val="24"/>
              </w:rPr>
              <w:t>Upper Limit</w:t>
            </w:r>
          </w:p>
        </w:tc>
      </w:tr>
      <w:tr w:rsidR="00A268FE" w:rsidRPr="005A72B5" w14:paraId="2EE63D3E" w14:textId="77777777" w:rsidTr="008809DB">
        <w:tc>
          <w:tcPr>
            <w:tcW w:w="2312" w:type="dxa"/>
          </w:tcPr>
          <w:p w14:paraId="7EEBE310" w14:textId="77777777" w:rsidR="00A268FE" w:rsidRPr="005A72B5" w:rsidRDefault="00A268FE" w:rsidP="00A268FE">
            <w:pPr>
              <w:autoSpaceDE w:val="0"/>
              <w:autoSpaceDN w:val="0"/>
              <w:adjustRightInd w:val="0"/>
              <w:spacing w:line="360" w:lineRule="auto"/>
              <w:ind w:right="60"/>
              <w:jc w:val="right"/>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No</w:t>
            </w:r>
          </w:p>
        </w:tc>
        <w:tc>
          <w:tcPr>
            <w:tcW w:w="1529" w:type="dxa"/>
            <w:vAlign w:val="center"/>
          </w:tcPr>
          <w:p w14:paraId="3A72D8F8"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210</w:t>
            </w:r>
          </w:p>
        </w:tc>
        <w:tc>
          <w:tcPr>
            <w:tcW w:w="1720" w:type="dxa"/>
            <w:vAlign w:val="center"/>
          </w:tcPr>
          <w:p w14:paraId="62FA7B2F"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82.4%</w:t>
            </w:r>
          </w:p>
        </w:tc>
        <w:tc>
          <w:tcPr>
            <w:tcW w:w="1529" w:type="dxa"/>
            <w:vAlign w:val="center"/>
          </w:tcPr>
          <w:p w14:paraId="3E5492CA"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77.3%</w:t>
            </w:r>
          </w:p>
        </w:tc>
        <w:tc>
          <w:tcPr>
            <w:tcW w:w="2018" w:type="dxa"/>
            <w:vAlign w:val="center"/>
          </w:tcPr>
          <w:p w14:paraId="4D902B9E"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86.7%</w:t>
            </w:r>
          </w:p>
        </w:tc>
      </w:tr>
      <w:tr w:rsidR="00A268FE" w:rsidRPr="005A72B5" w14:paraId="52F1C39F" w14:textId="77777777" w:rsidTr="008809DB">
        <w:tc>
          <w:tcPr>
            <w:tcW w:w="2312" w:type="dxa"/>
          </w:tcPr>
          <w:p w14:paraId="51C83C21" w14:textId="77777777" w:rsidR="00A268FE" w:rsidRPr="005A72B5" w:rsidRDefault="00A268FE" w:rsidP="00A268FE">
            <w:pPr>
              <w:autoSpaceDE w:val="0"/>
              <w:autoSpaceDN w:val="0"/>
              <w:adjustRightInd w:val="0"/>
              <w:spacing w:line="360" w:lineRule="auto"/>
              <w:ind w:right="60"/>
              <w:jc w:val="right"/>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Yes</w:t>
            </w:r>
          </w:p>
        </w:tc>
        <w:tc>
          <w:tcPr>
            <w:tcW w:w="1529" w:type="dxa"/>
            <w:vAlign w:val="center"/>
          </w:tcPr>
          <w:p w14:paraId="09B79835"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45</w:t>
            </w:r>
          </w:p>
        </w:tc>
        <w:tc>
          <w:tcPr>
            <w:tcW w:w="1720" w:type="dxa"/>
            <w:vAlign w:val="center"/>
          </w:tcPr>
          <w:p w14:paraId="6356D10A"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17.6%</w:t>
            </w:r>
          </w:p>
        </w:tc>
        <w:tc>
          <w:tcPr>
            <w:tcW w:w="1529" w:type="dxa"/>
            <w:vAlign w:val="center"/>
          </w:tcPr>
          <w:p w14:paraId="149E57C9"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13.3%</w:t>
            </w:r>
          </w:p>
        </w:tc>
        <w:tc>
          <w:tcPr>
            <w:tcW w:w="2018" w:type="dxa"/>
            <w:vAlign w:val="center"/>
          </w:tcPr>
          <w:p w14:paraId="199A63C2" w14:textId="77777777" w:rsidR="00A268FE" w:rsidRPr="005A72B5" w:rsidRDefault="00A268FE" w:rsidP="00A268FE">
            <w:pPr>
              <w:autoSpaceDE w:val="0"/>
              <w:autoSpaceDN w:val="0"/>
              <w:adjustRightInd w:val="0"/>
              <w:spacing w:line="360" w:lineRule="auto"/>
              <w:ind w:right="60"/>
              <w:jc w:val="center"/>
              <w:rPr>
                <w:rFonts w:asciiTheme="majorBidi" w:eastAsia="Calibri" w:hAnsiTheme="majorBidi" w:cstheme="majorBidi"/>
                <w:color w:val="000000" w:themeColor="text1"/>
                <w:sz w:val="24"/>
                <w:szCs w:val="24"/>
              </w:rPr>
            </w:pPr>
            <w:r w:rsidRPr="005A72B5">
              <w:rPr>
                <w:rFonts w:asciiTheme="majorBidi" w:eastAsia="Calibri" w:hAnsiTheme="majorBidi" w:cstheme="majorBidi"/>
                <w:color w:val="000000" w:themeColor="text1"/>
                <w:sz w:val="24"/>
                <w:szCs w:val="24"/>
              </w:rPr>
              <w:t>22.7%</w:t>
            </w:r>
          </w:p>
        </w:tc>
      </w:tr>
    </w:tbl>
    <w:p w14:paraId="1FEA82CE"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p>
    <w:p w14:paraId="02A8DCBA"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lastRenderedPageBreak/>
        <w:t>Table 3-Comparison of the percentage of LVA formation according to individual variables, underlying diseases and blood factors</w:t>
      </w:r>
    </w:p>
    <w:tbl>
      <w:tblPr>
        <w:tblW w:w="9134" w:type="dxa"/>
        <w:tblInd w:w="108" w:type="dxa"/>
        <w:tblLook w:val="04A0" w:firstRow="1" w:lastRow="0" w:firstColumn="1" w:lastColumn="0" w:noHBand="0" w:noVBand="1"/>
      </w:tblPr>
      <w:tblGrid>
        <w:gridCol w:w="2790"/>
        <w:gridCol w:w="1800"/>
        <w:gridCol w:w="1800"/>
        <w:gridCol w:w="1710"/>
        <w:gridCol w:w="1034"/>
      </w:tblGrid>
      <w:tr w:rsidR="00655865" w:rsidRPr="00655865" w14:paraId="25F81403" w14:textId="77777777" w:rsidTr="00655865">
        <w:trPr>
          <w:trHeight w:val="300"/>
        </w:trPr>
        <w:tc>
          <w:tcPr>
            <w:tcW w:w="27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286E6A"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Characteristics</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209DBE" w14:textId="77777777" w:rsidR="00B54454" w:rsidRPr="00B54454" w:rsidRDefault="00B54454" w:rsidP="00A268FE">
            <w:pPr>
              <w:bidi w:val="0"/>
              <w:spacing w:after="0" w:line="360" w:lineRule="auto"/>
              <w:jc w:val="center"/>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Total</w:t>
            </w:r>
          </w:p>
        </w:tc>
        <w:tc>
          <w:tcPr>
            <w:tcW w:w="35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506C92" w14:textId="77777777" w:rsidR="00B54454" w:rsidRPr="00B54454" w:rsidRDefault="00B54454" w:rsidP="00A268FE">
            <w:pPr>
              <w:bidi w:val="0"/>
              <w:spacing w:after="0" w:line="360" w:lineRule="auto"/>
              <w:jc w:val="center"/>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Left Ventricular Aneurysm</w:t>
            </w:r>
          </w:p>
        </w:tc>
        <w:tc>
          <w:tcPr>
            <w:tcW w:w="10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62021F" w14:textId="77777777" w:rsidR="00B54454" w:rsidRPr="00B54454" w:rsidRDefault="00B54454" w:rsidP="00A268FE">
            <w:pPr>
              <w:bidi w:val="0"/>
              <w:spacing w:after="0" w:line="360" w:lineRule="auto"/>
              <w:jc w:val="center"/>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p-value</w:t>
            </w:r>
          </w:p>
        </w:tc>
      </w:tr>
      <w:tr w:rsidR="00655865" w:rsidRPr="00655865" w14:paraId="74D82F53" w14:textId="77777777" w:rsidTr="00655865">
        <w:trPr>
          <w:trHeight w:val="300"/>
        </w:trPr>
        <w:tc>
          <w:tcPr>
            <w:tcW w:w="2790" w:type="dxa"/>
            <w:vMerge/>
            <w:tcBorders>
              <w:top w:val="single" w:sz="4" w:space="0" w:color="auto"/>
              <w:left w:val="single" w:sz="4" w:space="0" w:color="auto"/>
              <w:bottom w:val="single" w:sz="4" w:space="0" w:color="000000"/>
              <w:right w:val="single" w:sz="4" w:space="0" w:color="auto"/>
            </w:tcBorders>
            <w:vAlign w:val="center"/>
            <w:hideMark/>
          </w:tcPr>
          <w:p w14:paraId="39248C22"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4A20D469"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p>
        </w:tc>
        <w:tc>
          <w:tcPr>
            <w:tcW w:w="1800" w:type="dxa"/>
            <w:tcBorders>
              <w:top w:val="nil"/>
              <w:left w:val="nil"/>
              <w:bottom w:val="single" w:sz="4" w:space="0" w:color="auto"/>
              <w:right w:val="single" w:sz="4" w:space="0" w:color="auto"/>
            </w:tcBorders>
            <w:shd w:val="clear" w:color="auto" w:fill="auto"/>
            <w:noWrap/>
            <w:vAlign w:val="center"/>
            <w:hideMark/>
          </w:tcPr>
          <w:p w14:paraId="688194BD" w14:textId="77777777" w:rsidR="00B54454" w:rsidRPr="00B54454" w:rsidRDefault="00B54454" w:rsidP="00A268FE">
            <w:pPr>
              <w:bidi w:val="0"/>
              <w:spacing w:after="0" w:line="360" w:lineRule="auto"/>
              <w:jc w:val="center"/>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Yes (n=45)</w:t>
            </w:r>
          </w:p>
        </w:tc>
        <w:tc>
          <w:tcPr>
            <w:tcW w:w="1710" w:type="dxa"/>
            <w:tcBorders>
              <w:top w:val="nil"/>
              <w:left w:val="nil"/>
              <w:bottom w:val="single" w:sz="4" w:space="0" w:color="auto"/>
              <w:right w:val="single" w:sz="4" w:space="0" w:color="auto"/>
            </w:tcBorders>
            <w:shd w:val="clear" w:color="auto" w:fill="auto"/>
            <w:noWrap/>
            <w:vAlign w:val="center"/>
            <w:hideMark/>
          </w:tcPr>
          <w:p w14:paraId="4E33F345" w14:textId="77777777" w:rsidR="00B54454" w:rsidRPr="00B54454" w:rsidRDefault="00B54454" w:rsidP="00A268FE">
            <w:pPr>
              <w:bidi w:val="0"/>
              <w:spacing w:after="0" w:line="360" w:lineRule="auto"/>
              <w:jc w:val="center"/>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No (n=210)</w:t>
            </w:r>
          </w:p>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3A088B63"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p>
        </w:tc>
      </w:tr>
      <w:tr w:rsidR="00B54454" w:rsidRPr="00B54454" w14:paraId="23BE47ED" w14:textId="77777777" w:rsidTr="00B54454">
        <w:trPr>
          <w:trHeight w:val="300"/>
        </w:trPr>
        <w:tc>
          <w:tcPr>
            <w:tcW w:w="913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C859B"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Sex</w:t>
            </w:r>
          </w:p>
        </w:tc>
      </w:tr>
      <w:tr w:rsidR="00655865" w:rsidRPr="00655865" w14:paraId="2EBB0CB8"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5DA26EA"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Male</w:t>
            </w:r>
          </w:p>
        </w:tc>
        <w:tc>
          <w:tcPr>
            <w:tcW w:w="1800" w:type="dxa"/>
            <w:tcBorders>
              <w:top w:val="nil"/>
              <w:left w:val="nil"/>
              <w:bottom w:val="single" w:sz="4" w:space="0" w:color="auto"/>
              <w:right w:val="single" w:sz="4" w:space="0" w:color="auto"/>
            </w:tcBorders>
            <w:shd w:val="clear" w:color="auto" w:fill="auto"/>
            <w:noWrap/>
            <w:vAlign w:val="bottom"/>
            <w:hideMark/>
          </w:tcPr>
          <w:p w14:paraId="2D13B45A"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(179)</w:t>
            </w:r>
          </w:p>
        </w:tc>
        <w:tc>
          <w:tcPr>
            <w:tcW w:w="1800" w:type="dxa"/>
            <w:tcBorders>
              <w:top w:val="nil"/>
              <w:left w:val="nil"/>
              <w:bottom w:val="single" w:sz="4" w:space="0" w:color="auto"/>
              <w:right w:val="single" w:sz="4" w:space="0" w:color="auto"/>
            </w:tcBorders>
            <w:shd w:val="clear" w:color="auto" w:fill="auto"/>
            <w:noWrap/>
            <w:vAlign w:val="bottom"/>
            <w:hideMark/>
          </w:tcPr>
          <w:p w14:paraId="67FAB643"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17.9% (32)</w:t>
            </w:r>
          </w:p>
        </w:tc>
        <w:tc>
          <w:tcPr>
            <w:tcW w:w="1710" w:type="dxa"/>
            <w:tcBorders>
              <w:top w:val="nil"/>
              <w:left w:val="nil"/>
              <w:bottom w:val="single" w:sz="4" w:space="0" w:color="auto"/>
              <w:right w:val="single" w:sz="4" w:space="0" w:color="auto"/>
            </w:tcBorders>
            <w:shd w:val="clear" w:color="auto" w:fill="auto"/>
            <w:noWrap/>
            <w:vAlign w:val="bottom"/>
            <w:hideMark/>
          </w:tcPr>
          <w:p w14:paraId="182F12D1"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82.1% (147)</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F193A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0.882</w:t>
            </w:r>
          </w:p>
        </w:tc>
      </w:tr>
      <w:tr w:rsidR="00655865" w:rsidRPr="00655865" w14:paraId="41FF3A79"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8E3C383"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Female</w:t>
            </w:r>
          </w:p>
        </w:tc>
        <w:tc>
          <w:tcPr>
            <w:tcW w:w="1800" w:type="dxa"/>
            <w:tcBorders>
              <w:top w:val="nil"/>
              <w:left w:val="nil"/>
              <w:bottom w:val="single" w:sz="4" w:space="0" w:color="auto"/>
              <w:right w:val="single" w:sz="4" w:space="0" w:color="auto"/>
            </w:tcBorders>
            <w:shd w:val="clear" w:color="auto" w:fill="auto"/>
            <w:noWrap/>
            <w:vAlign w:val="bottom"/>
            <w:hideMark/>
          </w:tcPr>
          <w:p w14:paraId="34D05C2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(76)</w:t>
            </w:r>
          </w:p>
        </w:tc>
        <w:tc>
          <w:tcPr>
            <w:tcW w:w="1800" w:type="dxa"/>
            <w:tcBorders>
              <w:top w:val="nil"/>
              <w:left w:val="nil"/>
              <w:bottom w:val="single" w:sz="4" w:space="0" w:color="auto"/>
              <w:right w:val="single" w:sz="4" w:space="0" w:color="auto"/>
            </w:tcBorders>
            <w:shd w:val="clear" w:color="auto" w:fill="auto"/>
            <w:noWrap/>
            <w:vAlign w:val="bottom"/>
            <w:hideMark/>
          </w:tcPr>
          <w:p w14:paraId="386CC6D2"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17.1% (13)</w:t>
            </w:r>
          </w:p>
        </w:tc>
        <w:tc>
          <w:tcPr>
            <w:tcW w:w="1710" w:type="dxa"/>
            <w:tcBorders>
              <w:top w:val="nil"/>
              <w:left w:val="nil"/>
              <w:bottom w:val="single" w:sz="4" w:space="0" w:color="auto"/>
              <w:right w:val="single" w:sz="4" w:space="0" w:color="auto"/>
            </w:tcBorders>
            <w:shd w:val="clear" w:color="auto" w:fill="auto"/>
            <w:noWrap/>
            <w:vAlign w:val="bottom"/>
            <w:hideMark/>
          </w:tcPr>
          <w:p w14:paraId="40144107"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82.9% (63)</w:t>
            </w:r>
          </w:p>
        </w:tc>
        <w:tc>
          <w:tcPr>
            <w:tcW w:w="1034" w:type="dxa"/>
            <w:vMerge/>
            <w:tcBorders>
              <w:top w:val="nil"/>
              <w:left w:val="single" w:sz="4" w:space="0" w:color="auto"/>
              <w:bottom w:val="single" w:sz="4" w:space="0" w:color="000000"/>
              <w:right w:val="single" w:sz="4" w:space="0" w:color="auto"/>
            </w:tcBorders>
            <w:vAlign w:val="center"/>
            <w:hideMark/>
          </w:tcPr>
          <w:p w14:paraId="640F821B"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p>
        </w:tc>
      </w:tr>
      <w:tr w:rsidR="00655865" w:rsidRPr="00655865" w14:paraId="4308C6B2"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777306AD"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Age (years)</w:t>
            </w:r>
          </w:p>
        </w:tc>
        <w:tc>
          <w:tcPr>
            <w:tcW w:w="1800" w:type="dxa"/>
            <w:tcBorders>
              <w:top w:val="nil"/>
              <w:left w:val="nil"/>
              <w:bottom w:val="single" w:sz="4" w:space="0" w:color="auto"/>
              <w:right w:val="single" w:sz="4" w:space="0" w:color="auto"/>
            </w:tcBorders>
            <w:shd w:val="clear" w:color="auto" w:fill="auto"/>
            <w:noWrap/>
            <w:vAlign w:val="bottom"/>
            <w:hideMark/>
          </w:tcPr>
          <w:p w14:paraId="12D40912"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61.71 ± 10.32</w:t>
            </w:r>
          </w:p>
        </w:tc>
        <w:tc>
          <w:tcPr>
            <w:tcW w:w="1800" w:type="dxa"/>
            <w:tcBorders>
              <w:top w:val="nil"/>
              <w:left w:val="nil"/>
              <w:bottom w:val="single" w:sz="4" w:space="0" w:color="auto"/>
              <w:right w:val="single" w:sz="4" w:space="0" w:color="auto"/>
            </w:tcBorders>
            <w:shd w:val="clear" w:color="auto" w:fill="auto"/>
            <w:noWrap/>
            <w:vAlign w:val="bottom"/>
            <w:hideMark/>
          </w:tcPr>
          <w:p w14:paraId="6B6CB281"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66.6 ± 10.19</w:t>
            </w:r>
          </w:p>
        </w:tc>
        <w:tc>
          <w:tcPr>
            <w:tcW w:w="1710" w:type="dxa"/>
            <w:tcBorders>
              <w:top w:val="nil"/>
              <w:left w:val="nil"/>
              <w:bottom w:val="single" w:sz="4" w:space="0" w:color="auto"/>
              <w:right w:val="single" w:sz="4" w:space="0" w:color="auto"/>
            </w:tcBorders>
            <w:shd w:val="clear" w:color="auto" w:fill="auto"/>
            <w:noWrap/>
            <w:vAlign w:val="bottom"/>
            <w:hideMark/>
          </w:tcPr>
          <w:p w14:paraId="4408FD31"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60.67 ± 10.07</w:t>
            </w:r>
          </w:p>
        </w:tc>
        <w:tc>
          <w:tcPr>
            <w:tcW w:w="1034" w:type="dxa"/>
            <w:tcBorders>
              <w:top w:val="nil"/>
              <w:left w:val="nil"/>
              <w:bottom w:val="single" w:sz="4" w:space="0" w:color="auto"/>
              <w:right w:val="single" w:sz="4" w:space="0" w:color="auto"/>
            </w:tcBorders>
            <w:shd w:val="clear" w:color="auto" w:fill="auto"/>
            <w:noWrap/>
            <w:vAlign w:val="bottom"/>
            <w:hideMark/>
          </w:tcPr>
          <w:p w14:paraId="27E6243B"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&lt;0.001</w:t>
            </w:r>
          </w:p>
        </w:tc>
      </w:tr>
      <w:tr w:rsidR="00B54454" w:rsidRPr="00B54454" w14:paraId="2DCFFAC2" w14:textId="77777777" w:rsidTr="00B54454">
        <w:trPr>
          <w:trHeight w:val="300"/>
        </w:trPr>
        <w:tc>
          <w:tcPr>
            <w:tcW w:w="913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B7DA5"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Hypertension</w:t>
            </w:r>
          </w:p>
        </w:tc>
      </w:tr>
      <w:tr w:rsidR="00655865" w:rsidRPr="00655865" w14:paraId="5B3CF39B"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1ED3B9D2"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Yes</w:t>
            </w:r>
          </w:p>
        </w:tc>
        <w:tc>
          <w:tcPr>
            <w:tcW w:w="1800" w:type="dxa"/>
            <w:tcBorders>
              <w:top w:val="nil"/>
              <w:left w:val="nil"/>
              <w:bottom w:val="single" w:sz="4" w:space="0" w:color="auto"/>
              <w:right w:val="single" w:sz="4" w:space="0" w:color="auto"/>
            </w:tcBorders>
            <w:shd w:val="clear" w:color="auto" w:fill="auto"/>
            <w:noWrap/>
            <w:vAlign w:val="bottom"/>
            <w:hideMark/>
          </w:tcPr>
          <w:p w14:paraId="3B8C82D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(167)</w:t>
            </w:r>
          </w:p>
        </w:tc>
        <w:tc>
          <w:tcPr>
            <w:tcW w:w="1800" w:type="dxa"/>
            <w:tcBorders>
              <w:top w:val="nil"/>
              <w:left w:val="nil"/>
              <w:bottom w:val="single" w:sz="4" w:space="0" w:color="auto"/>
              <w:right w:val="single" w:sz="4" w:space="0" w:color="auto"/>
            </w:tcBorders>
            <w:shd w:val="clear" w:color="auto" w:fill="auto"/>
            <w:noWrap/>
            <w:vAlign w:val="bottom"/>
            <w:hideMark/>
          </w:tcPr>
          <w:p w14:paraId="1884F609"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22.2% (37)</w:t>
            </w:r>
          </w:p>
        </w:tc>
        <w:tc>
          <w:tcPr>
            <w:tcW w:w="1710" w:type="dxa"/>
            <w:tcBorders>
              <w:top w:val="nil"/>
              <w:left w:val="nil"/>
              <w:bottom w:val="single" w:sz="4" w:space="0" w:color="auto"/>
              <w:right w:val="single" w:sz="4" w:space="0" w:color="auto"/>
            </w:tcBorders>
            <w:shd w:val="clear" w:color="auto" w:fill="auto"/>
            <w:noWrap/>
            <w:vAlign w:val="bottom"/>
            <w:hideMark/>
          </w:tcPr>
          <w:p w14:paraId="3FDF6F04"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77.8% (130)</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B2CBAF"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0.009</w:t>
            </w:r>
          </w:p>
        </w:tc>
      </w:tr>
      <w:tr w:rsidR="00655865" w:rsidRPr="00655865" w14:paraId="5680BED5"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4C5A650A"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No</w:t>
            </w:r>
          </w:p>
        </w:tc>
        <w:tc>
          <w:tcPr>
            <w:tcW w:w="1800" w:type="dxa"/>
            <w:tcBorders>
              <w:top w:val="nil"/>
              <w:left w:val="nil"/>
              <w:bottom w:val="single" w:sz="4" w:space="0" w:color="auto"/>
              <w:right w:val="single" w:sz="4" w:space="0" w:color="auto"/>
            </w:tcBorders>
            <w:shd w:val="clear" w:color="auto" w:fill="auto"/>
            <w:noWrap/>
            <w:vAlign w:val="bottom"/>
            <w:hideMark/>
          </w:tcPr>
          <w:p w14:paraId="42E30168"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(88)</w:t>
            </w:r>
          </w:p>
        </w:tc>
        <w:tc>
          <w:tcPr>
            <w:tcW w:w="1800" w:type="dxa"/>
            <w:tcBorders>
              <w:top w:val="nil"/>
              <w:left w:val="nil"/>
              <w:bottom w:val="single" w:sz="4" w:space="0" w:color="auto"/>
              <w:right w:val="single" w:sz="4" w:space="0" w:color="auto"/>
            </w:tcBorders>
            <w:shd w:val="clear" w:color="auto" w:fill="auto"/>
            <w:noWrap/>
            <w:vAlign w:val="bottom"/>
            <w:hideMark/>
          </w:tcPr>
          <w:p w14:paraId="19B9C548"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9.1% (8)</w:t>
            </w:r>
          </w:p>
        </w:tc>
        <w:tc>
          <w:tcPr>
            <w:tcW w:w="1710" w:type="dxa"/>
            <w:tcBorders>
              <w:top w:val="nil"/>
              <w:left w:val="nil"/>
              <w:bottom w:val="single" w:sz="4" w:space="0" w:color="auto"/>
              <w:right w:val="single" w:sz="4" w:space="0" w:color="auto"/>
            </w:tcBorders>
            <w:shd w:val="clear" w:color="auto" w:fill="auto"/>
            <w:noWrap/>
            <w:vAlign w:val="bottom"/>
            <w:hideMark/>
          </w:tcPr>
          <w:p w14:paraId="06D20E1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90.9% (80)</w:t>
            </w:r>
          </w:p>
        </w:tc>
        <w:tc>
          <w:tcPr>
            <w:tcW w:w="1034" w:type="dxa"/>
            <w:vMerge/>
            <w:tcBorders>
              <w:top w:val="nil"/>
              <w:left w:val="single" w:sz="4" w:space="0" w:color="auto"/>
              <w:bottom w:val="single" w:sz="4" w:space="0" w:color="000000"/>
              <w:right w:val="single" w:sz="4" w:space="0" w:color="auto"/>
            </w:tcBorders>
            <w:vAlign w:val="center"/>
            <w:hideMark/>
          </w:tcPr>
          <w:p w14:paraId="43740F6E"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p>
        </w:tc>
      </w:tr>
      <w:tr w:rsidR="00B54454" w:rsidRPr="00B54454" w14:paraId="5C8F8B5F" w14:textId="77777777" w:rsidTr="00B54454">
        <w:trPr>
          <w:trHeight w:val="300"/>
        </w:trPr>
        <w:tc>
          <w:tcPr>
            <w:tcW w:w="913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25E359" w14:textId="77777777" w:rsidR="00B54454" w:rsidRPr="00B54454" w:rsidRDefault="00B54454" w:rsidP="00A268FE">
            <w:pPr>
              <w:bidi w:val="0"/>
              <w:spacing w:after="0" w:line="360" w:lineRule="auto"/>
              <w:rPr>
                <w:rFonts w:asciiTheme="majorBidi" w:eastAsia="Times New Roman" w:hAnsiTheme="majorBidi" w:cstheme="majorBidi"/>
                <w:b/>
                <w:bCs/>
                <w:color w:val="000000"/>
                <w:lang w:bidi="ar-SA"/>
              </w:rPr>
            </w:pPr>
            <w:r w:rsidRPr="00B54454">
              <w:rPr>
                <w:rFonts w:asciiTheme="majorBidi" w:eastAsia="Times New Roman" w:hAnsiTheme="majorBidi" w:cstheme="majorBidi"/>
                <w:b/>
                <w:bCs/>
                <w:color w:val="000000"/>
                <w:lang w:bidi="ar-SA"/>
              </w:rPr>
              <w:t>Diabetes mellitus</w:t>
            </w:r>
          </w:p>
        </w:tc>
      </w:tr>
      <w:tr w:rsidR="00655865" w:rsidRPr="00655865" w14:paraId="7877A250"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09E2A4A4"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Yes</w:t>
            </w:r>
          </w:p>
        </w:tc>
        <w:tc>
          <w:tcPr>
            <w:tcW w:w="1800" w:type="dxa"/>
            <w:tcBorders>
              <w:top w:val="nil"/>
              <w:left w:val="nil"/>
              <w:bottom w:val="single" w:sz="4" w:space="0" w:color="auto"/>
              <w:right w:val="single" w:sz="4" w:space="0" w:color="auto"/>
            </w:tcBorders>
            <w:shd w:val="clear" w:color="auto" w:fill="auto"/>
            <w:noWrap/>
            <w:vAlign w:val="bottom"/>
            <w:hideMark/>
          </w:tcPr>
          <w:p w14:paraId="56D2D4F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(114)</w:t>
            </w:r>
          </w:p>
        </w:tc>
        <w:tc>
          <w:tcPr>
            <w:tcW w:w="1800" w:type="dxa"/>
            <w:tcBorders>
              <w:top w:val="nil"/>
              <w:left w:val="nil"/>
              <w:bottom w:val="single" w:sz="4" w:space="0" w:color="auto"/>
              <w:right w:val="single" w:sz="4" w:space="0" w:color="auto"/>
            </w:tcBorders>
            <w:shd w:val="clear" w:color="auto" w:fill="auto"/>
            <w:noWrap/>
            <w:vAlign w:val="bottom"/>
            <w:hideMark/>
          </w:tcPr>
          <w:p w14:paraId="7141A43B"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32.5% (37)</w:t>
            </w:r>
          </w:p>
        </w:tc>
        <w:tc>
          <w:tcPr>
            <w:tcW w:w="1710" w:type="dxa"/>
            <w:tcBorders>
              <w:top w:val="nil"/>
              <w:left w:val="nil"/>
              <w:bottom w:val="single" w:sz="4" w:space="0" w:color="auto"/>
              <w:right w:val="single" w:sz="4" w:space="0" w:color="auto"/>
            </w:tcBorders>
            <w:shd w:val="clear" w:color="auto" w:fill="auto"/>
            <w:noWrap/>
            <w:vAlign w:val="bottom"/>
            <w:hideMark/>
          </w:tcPr>
          <w:p w14:paraId="7E465FB8"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67.5% (77)</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D31272"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&lt;0.001</w:t>
            </w:r>
          </w:p>
        </w:tc>
      </w:tr>
      <w:tr w:rsidR="00655865" w:rsidRPr="00655865" w14:paraId="70C6FDCB"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209ABD7E"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No</w:t>
            </w:r>
          </w:p>
        </w:tc>
        <w:tc>
          <w:tcPr>
            <w:tcW w:w="1800" w:type="dxa"/>
            <w:tcBorders>
              <w:top w:val="nil"/>
              <w:left w:val="nil"/>
              <w:bottom w:val="single" w:sz="4" w:space="0" w:color="auto"/>
              <w:right w:val="single" w:sz="4" w:space="0" w:color="auto"/>
            </w:tcBorders>
            <w:shd w:val="clear" w:color="auto" w:fill="auto"/>
            <w:noWrap/>
            <w:vAlign w:val="bottom"/>
            <w:hideMark/>
          </w:tcPr>
          <w:p w14:paraId="6B6449F0"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(141)</w:t>
            </w:r>
          </w:p>
        </w:tc>
        <w:tc>
          <w:tcPr>
            <w:tcW w:w="1800" w:type="dxa"/>
            <w:tcBorders>
              <w:top w:val="nil"/>
              <w:left w:val="nil"/>
              <w:bottom w:val="single" w:sz="4" w:space="0" w:color="auto"/>
              <w:right w:val="single" w:sz="4" w:space="0" w:color="auto"/>
            </w:tcBorders>
            <w:shd w:val="clear" w:color="auto" w:fill="auto"/>
            <w:noWrap/>
            <w:vAlign w:val="bottom"/>
            <w:hideMark/>
          </w:tcPr>
          <w:p w14:paraId="01755AC0"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5.7% (8)</w:t>
            </w:r>
          </w:p>
        </w:tc>
        <w:tc>
          <w:tcPr>
            <w:tcW w:w="1710" w:type="dxa"/>
            <w:tcBorders>
              <w:top w:val="nil"/>
              <w:left w:val="nil"/>
              <w:bottom w:val="single" w:sz="4" w:space="0" w:color="auto"/>
              <w:right w:val="single" w:sz="4" w:space="0" w:color="auto"/>
            </w:tcBorders>
            <w:shd w:val="clear" w:color="auto" w:fill="auto"/>
            <w:noWrap/>
            <w:vAlign w:val="bottom"/>
            <w:hideMark/>
          </w:tcPr>
          <w:p w14:paraId="0E273438"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94.3% (133)</w:t>
            </w:r>
          </w:p>
        </w:tc>
        <w:tc>
          <w:tcPr>
            <w:tcW w:w="1034" w:type="dxa"/>
            <w:vMerge/>
            <w:tcBorders>
              <w:top w:val="nil"/>
              <w:left w:val="single" w:sz="4" w:space="0" w:color="auto"/>
              <w:bottom w:val="single" w:sz="4" w:space="0" w:color="000000"/>
              <w:right w:val="single" w:sz="4" w:space="0" w:color="auto"/>
            </w:tcBorders>
            <w:vAlign w:val="center"/>
            <w:hideMark/>
          </w:tcPr>
          <w:p w14:paraId="110B123A"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p>
        </w:tc>
      </w:tr>
      <w:tr w:rsidR="00B54454" w:rsidRPr="00B54454" w14:paraId="1F906196" w14:textId="77777777" w:rsidTr="00B54454">
        <w:trPr>
          <w:trHeight w:val="300"/>
        </w:trPr>
        <w:tc>
          <w:tcPr>
            <w:tcW w:w="913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033837" w14:textId="77777777" w:rsidR="00B54454" w:rsidRPr="00B54454" w:rsidRDefault="00CA1597" w:rsidP="00A268FE">
            <w:pPr>
              <w:bidi w:val="0"/>
              <w:spacing w:after="0" w:line="360" w:lineRule="auto"/>
              <w:rPr>
                <w:rFonts w:asciiTheme="majorBidi" w:eastAsia="Times New Roman" w:hAnsiTheme="majorBidi" w:cstheme="majorBidi"/>
                <w:b/>
                <w:bCs/>
                <w:color w:val="000000"/>
                <w:lang w:bidi="ar-SA"/>
              </w:rPr>
            </w:pPr>
            <w:r>
              <w:rPr>
                <w:rFonts w:asciiTheme="majorBidi" w:eastAsia="Times New Roman" w:hAnsiTheme="majorBidi" w:cstheme="majorBidi"/>
                <w:b/>
                <w:bCs/>
                <w:color w:val="000000"/>
                <w:lang w:bidi="ar-SA"/>
              </w:rPr>
              <w:t>LAD</w:t>
            </w:r>
          </w:p>
        </w:tc>
      </w:tr>
      <w:tr w:rsidR="00655865" w:rsidRPr="00655865" w14:paraId="08D7A993"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00FC7589"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Proximal</w:t>
            </w:r>
          </w:p>
        </w:tc>
        <w:tc>
          <w:tcPr>
            <w:tcW w:w="1800" w:type="dxa"/>
            <w:tcBorders>
              <w:top w:val="nil"/>
              <w:left w:val="nil"/>
              <w:bottom w:val="single" w:sz="4" w:space="0" w:color="auto"/>
              <w:right w:val="single" w:sz="4" w:space="0" w:color="auto"/>
            </w:tcBorders>
            <w:shd w:val="clear" w:color="auto" w:fill="auto"/>
            <w:noWrap/>
            <w:vAlign w:val="bottom"/>
            <w:hideMark/>
          </w:tcPr>
          <w:p w14:paraId="7035CB87"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(90)</w:t>
            </w:r>
          </w:p>
        </w:tc>
        <w:tc>
          <w:tcPr>
            <w:tcW w:w="1800" w:type="dxa"/>
            <w:tcBorders>
              <w:top w:val="nil"/>
              <w:left w:val="nil"/>
              <w:bottom w:val="single" w:sz="4" w:space="0" w:color="auto"/>
              <w:right w:val="single" w:sz="4" w:space="0" w:color="auto"/>
            </w:tcBorders>
            <w:shd w:val="clear" w:color="auto" w:fill="auto"/>
            <w:noWrap/>
            <w:vAlign w:val="bottom"/>
            <w:hideMark/>
          </w:tcPr>
          <w:p w14:paraId="5ACDF42D"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30% (27)</w:t>
            </w:r>
          </w:p>
        </w:tc>
        <w:tc>
          <w:tcPr>
            <w:tcW w:w="1710" w:type="dxa"/>
            <w:tcBorders>
              <w:top w:val="nil"/>
              <w:left w:val="nil"/>
              <w:bottom w:val="single" w:sz="4" w:space="0" w:color="auto"/>
              <w:right w:val="single" w:sz="4" w:space="0" w:color="auto"/>
            </w:tcBorders>
            <w:shd w:val="clear" w:color="auto" w:fill="auto"/>
            <w:noWrap/>
            <w:vAlign w:val="bottom"/>
            <w:hideMark/>
          </w:tcPr>
          <w:p w14:paraId="2A1D4A93"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70% (63)</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C2B647"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0.009</w:t>
            </w:r>
          </w:p>
        </w:tc>
      </w:tr>
      <w:tr w:rsidR="00655865" w:rsidRPr="00655865" w14:paraId="179277CC"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4910F78" w14:textId="77777777" w:rsidR="00B54454" w:rsidRPr="00B54454" w:rsidRDefault="00CA1597" w:rsidP="00A268FE">
            <w:pPr>
              <w:bidi w:val="0"/>
              <w:spacing w:after="0" w:line="360" w:lineRule="auto"/>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Mid</w:t>
            </w:r>
          </w:p>
        </w:tc>
        <w:tc>
          <w:tcPr>
            <w:tcW w:w="1800" w:type="dxa"/>
            <w:tcBorders>
              <w:top w:val="nil"/>
              <w:left w:val="nil"/>
              <w:bottom w:val="single" w:sz="4" w:space="0" w:color="auto"/>
              <w:right w:val="single" w:sz="4" w:space="0" w:color="auto"/>
            </w:tcBorders>
            <w:shd w:val="clear" w:color="auto" w:fill="auto"/>
            <w:noWrap/>
            <w:vAlign w:val="bottom"/>
            <w:hideMark/>
          </w:tcPr>
          <w:p w14:paraId="5C0B48BB"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(110)</w:t>
            </w:r>
          </w:p>
        </w:tc>
        <w:tc>
          <w:tcPr>
            <w:tcW w:w="1800" w:type="dxa"/>
            <w:tcBorders>
              <w:top w:val="nil"/>
              <w:left w:val="nil"/>
              <w:bottom w:val="single" w:sz="4" w:space="0" w:color="auto"/>
              <w:right w:val="single" w:sz="4" w:space="0" w:color="auto"/>
            </w:tcBorders>
            <w:shd w:val="clear" w:color="auto" w:fill="auto"/>
            <w:noWrap/>
            <w:vAlign w:val="bottom"/>
            <w:hideMark/>
          </w:tcPr>
          <w:p w14:paraId="37F21B7B"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10.9% (12)</w:t>
            </w:r>
          </w:p>
        </w:tc>
        <w:tc>
          <w:tcPr>
            <w:tcW w:w="1710" w:type="dxa"/>
            <w:tcBorders>
              <w:top w:val="nil"/>
              <w:left w:val="nil"/>
              <w:bottom w:val="single" w:sz="4" w:space="0" w:color="auto"/>
              <w:right w:val="single" w:sz="4" w:space="0" w:color="auto"/>
            </w:tcBorders>
            <w:shd w:val="clear" w:color="auto" w:fill="auto"/>
            <w:noWrap/>
            <w:vAlign w:val="bottom"/>
            <w:hideMark/>
          </w:tcPr>
          <w:p w14:paraId="5E150696"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89.1% (98)</w:t>
            </w:r>
          </w:p>
        </w:tc>
        <w:tc>
          <w:tcPr>
            <w:tcW w:w="1034" w:type="dxa"/>
            <w:vMerge/>
            <w:tcBorders>
              <w:top w:val="nil"/>
              <w:left w:val="single" w:sz="4" w:space="0" w:color="auto"/>
              <w:bottom w:val="single" w:sz="4" w:space="0" w:color="000000"/>
              <w:right w:val="single" w:sz="4" w:space="0" w:color="auto"/>
            </w:tcBorders>
            <w:vAlign w:val="center"/>
            <w:hideMark/>
          </w:tcPr>
          <w:p w14:paraId="67AA9E94"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p>
        </w:tc>
      </w:tr>
      <w:tr w:rsidR="00655865" w:rsidRPr="00655865" w14:paraId="4ABAC163"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690A9364"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Distal</w:t>
            </w:r>
          </w:p>
        </w:tc>
        <w:tc>
          <w:tcPr>
            <w:tcW w:w="1800" w:type="dxa"/>
            <w:tcBorders>
              <w:top w:val="nil"/>
              <w:left w:val="nil"/>
              <w:bottom w:val="single" w:sz="4" w:space="0" w:color="auto"/>
              <w:right w:val="single" w:sz="4" w:space="0" w:color="auto"/>
            </w:tcBorders>
            <w:shd w:val="clear" w:color="auto" w:fill="auto"/>
            <w:noWrap/>
            <w:vAlign w:val="bottom"/>
            <w:hideMark/>
          </w:tcPr>
          <w:p w14:paraId="55C54BB4"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100% (55)</w:t>
            </w:r>
          </w:p>
        </w:tc>
        <w:tc>
          <w:tcPr>
            <w:tcW w:w="1800" w:type="dxa"/>
            <w:tcBorders>
              <w:top w:val="nil"/>
              <w:left w:val="nil"/>
              <w:bottom w:val="single" w:sz="4" w:space="0" w:color="auto"/>
              <w:right w:val="single" w:sz="4" w:space="0" w:color="auto"/>
            </w:tcBorders>
            <w:shd w:val="clear" w:color="auto" w:fill="auto"/>
            <w:noWrap/>
            <w:vAlign w:val="bottom"/>
            <w:hideMark/>
          </w:tcPr>
          <w:p w14:paraId="0CF61335"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10.9% (6)</w:t>
            </w:r>
          </w:p>
        </w:tc>
        <w:tc>
          <w:tcPr>
            <w:tcW w:w="1710" w:type="dxa"/>
            <w:tcBorders>
              <w:top w:val="nil"/>
              <w:left w:val="nil"/>
              <w:bottom w:val="single" w:sz="4" w:space="0" w:color="auto"/>
              <w:right w:val="single" w:sz="4" w:space="0" w:color="auto"/>
            </w:tcBorders>
            <w:shd w:val="clear" w:color="auto" w:fill="auto"/>
            <w:noWrap/>
            <w:vAlign w:val="bottom"/>
            <w:hideMark/>
          </w:tcPr>
          <w:p w14:paraId="574B916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89.1% (49)</w:t>
            </w:r>
          </w:p>
        </w:tc>
        <w:tc>
          <w:tcPr>
            <w:tcW w:w="1034" w:type="dxa"/>
            <w:vMerge/>
            <w:tcBorders>
              <w:top w:val="nil"/>
              <w:left w:val="single" w:sz="4" w:space="0" w:color="auto"/>
              <w:bottom w:val="single" w:sz="4" w:space="0" w:color="000000"/>
              <w:right w:val="single" w:sz="4" w:space="0" w:color="auto"/>
            </w:tcBorders>
            <w:vAlign w:val="center"/>
            <w:hideMark/>
          </w:tcPr>
          <w:p w14:paraId="0916CCC8" w14:textId="77777777" w:rsidR="00B54454" w:rsidRPr="00B54454" w:rsidRDefault="00B54454" w:rsidP="00A268FE">
            <w:pPr>
              <w:bidi w:val="0"/>
              <w:spacing w:after="0" w:line="360" w:lineRule="auto"/>
              <w:rPr>
                <w:rFonts w:asciiTheme="majorBidi" w:eastAsia="Times New Roman" w:hAnsiTheme="majorBidi" w:cstheme="majorBidi"/>
                <w:color w:val="000000"/>
                <w:lang w:bidi="ar-SA"/>
              </w:rPr>
            </w:pPr>
          </w:p>
        </w:tc>
      </w:tr>
      <w:tr w:rsidR="004C4903" w:rsidRPr="00655865" w14:paraId="1ED98F69" w14:textId="77777777" w:rsidTr="0085392C">
        <w:trPr>
          <w:trHeight w:val="300"/>
        </w:trPr>
        <w:tc>
          <w:tcPr>
            <w:tcW w:w="9134" w:type="dxa"/>
            <w:gridSpan w:val="5"/>
            <w:tcBorders>
              <w:top w:val="nil"/>
              <w:left w:val="single" w:sz="4" w:space="0" w:color="auto"/>
              <w:bottom w:val="single" w:sz="4" w:space="0" w:color="auto"/>
              <w:right w:val="single" w:sz="4" w:space="0" w:color="auto"/>
            </w:tcBorders>
            <w:shd w:val="clear" w:color="auto" w:fill="auto"/>
            <w:noWrap/>
            <w:vAlign w:val="bottom"/>
          </w:tcPr>
          <w:p w14:paraId="7999DDA9" w14:textId="77777777" w:rsidR="004C4903" w:rsidRPr="004C4903" w:rsidRDefault="004C4903" w:rsidP="004C4903">
            <w:pPr>
              <w:bidi w:val="0"/>
              <w:spacing w:after="0" w:line="360" w:lineRule="auto"/>
              <w:rPr>
                <w:rFonts w:asciiTheme="majorBidi" w:eastAsia="Times New Roman" w:hAnsiTheme="majorBidi" w:cstheme="majorBidi"/>
                <w:b/>
                <w:bCs/>
                <w:color w:val="000000"/>
                <w:lang w:bidi="ar-SA"/>
              </w:rPr>
            </w:pPr>
            <w:r w:rsidRPr="004C4903">
              <w:rPr>
                <w:rFonts w:asciiTheme="majorBidi" w:eastAsia="Times New Roman" w:hAnsiTheme="majorBidi" w:cstheme="majorBidi"/>
                <w:b/>
                <w:bCs/>
                <w:color w:val="000000"/>
                <w:lang w:bidi="ar-SA"/>
              </w:rPr>
              <w:t xml:space="preserve">Baseline laboratory parameter </w:t>
            </w:r>
          </w:p>
        </w:tc>
      </w:tr>
      <w:tr w:rsidR="00655865" w:rsidRPr="00655865" w14:paraId="6FEECAE8"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1B5F8218" w14:textId="77777777" w:rsidR="00B54454" w:rsidRPr="00B54454" w:rsidRDefault="004C4903" w:rsidP="00A268FE">
            <w:pPr>
              <w:bidi w:val="0"/>
              <w:spacing w:after="0" w:line="360" w:lineRule="auto"/>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White blood cells (WBC</w:t>
            </w:r>
            <w:r w:rsidRPr="004C4903">
              <w:rPr>
                <w:rFonts w:asciiTheme="majorBidi" w:eastAsia="Times New Roman" w:hAnsiTheme="majorBidi" w:cstheme="majorBidi"/>
                <w:color w:val="000000"/>
                <w:lang w:bidi="ar-SA"/>
              </w:rPr>
              <w:t>)</w:t>
            </w:r>
          </w:p>
        </w:tc>
        <w:tc>
          <w:tcPr>
            <w:tcW w:w="1800" w:type="dxa"/>
            <w:tcBorders>
              <w:top w:val="nil"/>
              <w:left w:val="nil"/>
              <w:bottom w:val="single" w:sz="4" w:space="0" w:color="auto"/>
              <w:right w:val="single" w:sz="4" w:space="0" w:color="auto"/>
            </w:tcBorders>
            <w:shd w:val="clear" w:color="auto" w:fill="auto"/>
            <w:noWrap/>
            <w:vAlign w:val="bottom"/>
            <w:hideMark/>
          </w:tcPr>
          <w:p w14:paraId="3A0E891E"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11175.69 ± 11364.81</w:t>
            </w:r>
          </w:p>
        </w:tc>
        <w:tc>
          <w:tcPr>
            <w:tcW w:w="1800" w:type="dxa"/>
            <w:tcBorders>
              <w:top w:val="nil"/>
              <w:left w:val="nil"/>
              <w:bottom w:val="single" w:sz="4" w:space="0" w:color="auto"/>
              <w:right w:val="single" w:sz="4" w:space="0" w:color="auto"/>
            </w:tcBorders>
            <w:shd w:val="clear" w:color="auto" w:fill="auto"/>
            <w:noWrap/>
            <w:vAlign w:val="bottom"/>
            <w:hideMark/>
          </w:tcPr>
          <w:p w14:paraId="5AAF18CA"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12375.33 ± 15290.99</w:t>
            </w:r>
          </w:p>
        </w:tc>
        <w:tc>
          <w:tcPr>
            <w:tcW w:w="1710" w:type="dxa"/>
            <w:tcBorders>
              <w:top w:val="nil"/>
              <w:left w:val="nil"/>
              <w:bottom w:val="single" w:sz="4" w:space="0" w:color="auto"/>
              <w:right w:val="single" w:sz="4" w:space="0" w:color="auto"/>
            </w:tcBorders>
            <w:shd w:val="clear" w:color="auto" w:fill="auto"/>
            <w:noWrap/>
            <w:vAlign w:val="bottom"/>
            <w:hideMark/>
          </w:tcPr>
          <w:p w14:paraId="0A56F5DF"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10918.63 ± 10361.85</w:t>
            </w:r>
          </w:p>
        </w:tc>
        <w:tc>
          <w:tcPr>
            <w:tcW w:w="1034" w:type="dxa"/>
            <w:tcBorders>
              <w:top w:val="nil"/>
              <w:left w:val="nil"/>
              <w:bottom w:val="single" w:sz="4" w:space="0" w:color="auto"/>
              <w:right w:val="single" w:sz="4" w:space="0" w:color="auto"/>
            </w:tcBorders>
            <w:shd w:val="clear" w:color="auto" w:fill="auto"/>
            <w:noWrap/>
            <w:vAlign w:val="bottom"/>
            <w:hideMark/>
          </w:tcPr>
          <w:p w14:paraId="4523227C"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&lt;0.001</w:t>
            </w:r>
          </w:p>
        </w:tc>
      </w:tr>
      <w:tr w:rsidR="00655865" w:rsidRPr="00655865" w14:paraId="611D31F4"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36EB1AA5" w14:textId="77777777" w:rsidR="00B54454" w:rsidRPr="00B54454" w:rsidRDefault="004C4903" w:rsidP="00A268FE">
            <w:pPr>
              <w:bidi w:val="0"/>
              <w:spacing w:after="0" w:line="360" w:lineRule="auto"/>
              <w:rPr>
                <w:rFonts w:asciiTheme="majorBidi" w:eastAsia="Times New Roman" w:hAnsiTheme="majorBidi" w:cstheme="majorBidi"/>
                <w:color w:val="000000"/>
                <w:lang w:bidi="ar-SA"/>
              </w:rPr>
            </w:pPr>
            <w:proofErr w:type="spellStart"/>
            <w:r w:rsidRPr="004C4903">
              <w:rPr>
                <w:rFonts w:asciiTheme="majorBidi" w:eastAsia="Times New Roman" w:hAnsiTheme="majorBidi" w:cstheme="majorBidi"/>
                <w:color w:val="000000"/>
                <w:lang w:bidi="ar-SA"/>
              </w:rPr>
              <w:t>polymorphonuclear</w:t>
            </w:r>
            <w:proofErr w:type="spellEnd"/>
            <w:r w:rsidRPr="004C4903">
              <w:rPr>
                <w:rFonts w:asciiTheme="majorBidi" w:eastAsia="Times New Roman" w:hAnsiTheme="majorBidi" w:cstheme="majorBidi"/>
                <w:color w:val="000000"/>
                <w:lang w:bidi="ar-SA"/>
              </w:rPr>
              <w:t xml:space="preserve"> neutrophil (PMN)</w:t>
            </w:r>
          </w:p>
        </w:tc>
        <w:tc>
          <w:tcPr>
            <w:tcW w:w="1800" w:type="dxa"/>
            <w:tcBorders>
              <w:top w:val="nil"/>
              <w:left w:val="nil"/>
              <w:bottom w:val="single" w:sz="4" w:space="0" w:color="auto"/>
              <w:right w:val="single" w:sz="4" w:space="0" w:color="auto"/>
            </w:tcBorders>
            <w:shd w:val="clear" w:color="auto" w:fill="auto"/>
            <w:noWrap/>
            <w:vAlign w:val="bottom"/>
            <w:hideMark/>
          </w:tcPr>
          <w:p w14:paraId="746A0939"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8128.78 ± 5040.14</w:t>
            </w:r>
          </w:p>
        </w:tc>
        <w:tc>
          <w:tcPr>
            <w:tcW w:w="1800" w:type="dxa"/>
            <w:tcBorders>
              <w:top w:val="nil"/>
              <w:left w:val="nil"/>
              <w:bottom w:val="single" w:sz="4" w:space="0" w:color="auto"/>
              <w:right w:val="single" w:sz="4" w:space="0" w:color="auto"/>
            </w:tcBorders>
            <w:shd w:val="clear" w:color="auto" w:fill="auto"/>
            <w:noWrap/>
            <w:vAlign w:val="bottom"/>
            <w:hideMark/>
          </w:tcPr>
          <w:p w14:paraId="22F0D562"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9996.44 ± 11811.16</w:t>
            </w:r>
          </w:p>
        </w:tc>
        <w:tc>
          <w:tcPr>
            <w:tcW w:w="1710" w:type="dxa"/>
            <w:tcBorders>
              <w:top w:val="nil"/>
              <w:left w:val="nil"/>
              <w:bottom w:val="single" w:sz="4" w:space="0" w:color="auto"/>
              <w:right w:val="single" w:sz="4" w:space="0" w:color="auto"/>
            </w:tcBorders>
            <w:shd w:val="clear" w:color="auto" w:fill="auto"/>
            <w:noWrap/>
            <w:vAlign w:val="bottom"/>
            <w:hideMark/>
          </w:tcPr>
          <w:p w14:paraId="0C36C5E1"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7728.57 ± 769.05</w:t>
            </w:r>
          </w:p>
        </w:tc>
        <w:tc>
          <w:tcPr>
            <w:tcW w:w="1034" w:type="dxa"/>
            <w:tcBorders>
              <w:top w:val="nil"/>
              <w:left w:val="nil"/>
              <w:bottom w:val="single" w:sz="4" w:space="0" w:color="auto"/>
              <w:right w:val="single" w:sz="4" w:space="0" w:color="auto"/>
            </w:tcBorders>
            <w:shd w:val="clear" w:color="auto" w:fill="auto"/>
            <w:noWrap/>
            <w:vAlign w:val="bottom"/>
            <w:hideMark/>
          </w:tcPr>
          <w:p w14:paraId="2C5201D6" w14:textId="77777777" w:rsidR="00B54454" w:rsidRPr="00B54454" w:rsidRDefault="00B54454" w:rsidP="00A268FE">
            <w:pPr>
              <w:bidi w:val="0"/>
              <w:spacing w:after="0" w:line="360" w:lineRule="auto"/>
              <w:jc w:val="center"/>
              <w:rPr>
                <w:rFonts w:asciiTheme="majorBidi" w:eastAsia="Times New Roman" w:hAnsiTheme="majorBidi" w:cstheme="majorBidi"/>
                <w:color w:val="000000"/>
                <w:lang w:bidi="ar-SA"/>
              </w:rPr>
            </w:pPr>
            <w:r w:rsidRPr="00B54454">
              <w:rPr>
                <w:rFonts w:asciiTheme="majorBidi" w:eastAsia="Times New Roman" w:hAnsiTheme="majorBidi" w:cstheme="majorBidi"/>
                <w:color w:val="000000"/>
                <w:lang w:bidi="ar-SA"/>
              </w:rPr>
              <w:t>&lt;0.001</w:t>
            </w:r>
          </w:p>
        </w:tc>
      </w:tr>
      <w:tr w:rsidR="00655865" w:rsidRPr="00655865" w14:paraId="31968027" w14:textId="77777777" w:rsidTr="00655865">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381234DC" w14:textId="77777777" w:rsidR="00B54454" w:rsidRPr="00AB09AF" w:rsidRDefault="004C4903" w:rsidP="00A268FE">
            <w:pPr>
              <w:bidi w:val="0"/>
              <w:spacing w:after="0" w:line="360" w:lineRule="auto"/>
              <w:rPr>
                <w:rFonts w:asciiTheme="majorBidi" w:eastAsia="Times New Roman" w:hAnsiTheme="majorBidi" w:cstheme="majorBidi"/>
                <w:color w:val="000000" w:themeColor="text1"/>
                <w:lang w:bidi="ar-SA"/>
              </w:rPr>
            </w:pPr>
            <w:r w:rsidRPr="00AB09AF">
              <w:rPr>
                <w:rFonts w:asciiTheme="majorBidi" w:eastAsia="Times New Roman" w:hAnsiTheme="majorBidi" w:cstheme="majorBidi"/>
                <w:color w:val="000000" w:themeColor="text1"/>
                <w:lang w:bidi="ar-SA"/>
              </w:rPr>
              <w:t>Platelet</w:t>
            </w:r>
          </w:p>
        </w:tc>
        <w:tc>
          <w:tcPr>
            <w:tcW w:w="1800" w:type="dxa"/>
            <w:tcBorders>
              <w:top w:val="nil"/>
              <w:left w:val="nil"/>
              <w:bottom w:val="single" w:sz="4" w:space="0" w:color="auto"/>
              <w:right w:val="single" w:sz="4" w:space="0" w:color="auto"/>
            </w:tcBorders>
            <w:shd w:val="clear" w:color="auto" w:fill="auto"/>
            <w:noWrap/>
            <w:vAlign w:val="bottom"/>
            <w:hideMark/>
          </w:tcPr>
          <w:p w14:paraId="2D829FE2" w14:textId="77777777" w:rsidR="00B54454" w:rsidRPr="00AB09AF" w:rsidRDefault="00B54454" w:rsidP="00A268FE">
            <w:pPr>
              <w:bidi w:val="0"/>
              <w:spacing w:after="0" w:line="360" w:lineRule="auto"/>
              <w:jc w:val="center"/>
              <w:rPr>
                <w:rFonts w:asciiTheme="majorBidi" w:eastAsia="Times New Roman" w:hAnsiTheme="majorBidi" w:cstheme="majorBidi"/>
                <w:color w:val="000000" w:themeColor="text1"/>
                <w:lang w:bidi="ar-SA"/>
              </w:rPr>
            </w:pPr>
            <w:r w:rsidRPr="00AB09AF">
              <w:rPr>
                <w:rFonts w:asciiTheme="majorBidi" w:eastAsia="Times New Roman" w:hAnsiTheme="majorBidi" w:cstheme="majorBidi"/>
                <w:color w:val="000000" w:themeColor="text1"/>
                <w:lang w:bidi="ar-SA"/>
              </w:rPr>
              <w:t>235207.84 ± 65607.22</w:t>
            </w:r>
          </w:p>
        </w:tc>
        <w:tc>
          <w:tcPr>
            <w:tcW w:w="1800" w:type="dxa"/>
            <w:tcBorders>
              <w:top w:val="nil"/>
              <w:left w:val="nil"/>
              <w:bottom w:val="single" w:sz="4" w:space="0" w:color="auto"/>
              <w:right w:val="single" w:sz="4" w:space="0" w:color="auto"/>
            </w:tcBorders>
            <w:shd w:val="clear" w:color="auto" w:fill="auto"/>
            <w:noWrap/>
            <w:vAlign w:val="bottom"/>
            <w:hideMark/>
          </w:tcPr>
          <w:p w14:paraId="073C7147" w14:textId="77777777" w:rsidR="00B54454" w:rsidRPr="00AB09AF" w:rsidRDefault="00B54454" w:rsidP="00A268FE">
            <w:pPr>
              <w:bidi w:val="0"/>
              <w:spacing w:after="0" w:line="360" w:lineRule="auto"/>
              <w:jc w:val="center"/>
              <w:rPr>
                <w:rFonts w:asciiTheme="majorBidi" w:eastAsia="Times New Roman" w:hAnsiTheme="majorBidi" w:cstheme="majorBidi"/>
                <w:color w:val="000000" w:themeColor="text1"/>
                <w:lang w:bidi="ar-SA"/>
              </w:rPr>
            </w:pPr>
            <w:r w:rsidRPr="00AB09AF">
              <w:rPr>
                <w:rFonts w:asciiTheme="majorBidi" w:eastAsia="Times New Roman" w:hAnsiTheme="majorBidi" w:cstheme="majorBidi"/>
                <w:color w:val="000000" w:themeColor="text1"/>
                <w:lang w:bidi="ar-SA"/>
              </w:rPr>
              <w:t>248644.44 ± 63017.01</w:t>
            </w:r>
          </w:p>
        </w:tc>
        <w:tc>
          <w:tcPr>
            <w:tcW w:w="1710" w:type="dxa"/>
            <w:tcBorders>
              <w:top w:val="nil"/>
              <w:left w:val="nil"/>
              <w:bottom w:val="single" w:sz="4" w:space="0" w:color="auto"/>
              <w:right w:val="single" w:sz="4" w:space="0" w:color="auto"/>
            </w:tcBorders>
            <w:shd w:val="clear" w:color="auto" w:fill="auto"/>
            <w:noWrap/>
            <w:vAlign w:val="bottom"/>
            <w:hideMark/>
          </w:tcPr>
          <w:p w14:paraId="34D271E8" w14:textId="77777777" w:rsidR="00B54454" w:rsidRPr="00AB09AF" w:rsidRDefault="00B54454" w:rsidP="00A268FE">
            <w:pPr>
              <w:bidi w:val="0"/>
              <w:spacing w:after="0" w:line="360" w:lineRule="auto"/>
              <w:jc w:val="center"/>
              <w:rPr>
                <w:rFonts w:asciiTheme="majorBidi" w:eastAsia="Times New Roman" w:hAnsiTheme="majorBidi" w:cstheme="majorBidi"/>
                <w:color w:val="000000" w:themeColor="text1"/>
                <w:lang w:bidi="ar-SA"/>
              </w:rPr>
            </w:pPr>
            <w:r w:rsidRPr="00AB09AF">
              <w:rPr>
                <w:rFonts w:asciiTheme="majorBidi" w:eastAsia="Times New Roman" w:hAnsiTheme="majorBidi" w:cstheme="majorBidi"/>
                <w:color w:val="000000" w:themeColor="text1"/>
                <w:lang w:bidi="ar-SA"/>
              </w:rPr>
              <w:t>232328.57 ± 65938.14</w:t>
            </w:r>
          </w:p>
        </w:tc>
        <w:tc>
          <w:tcPr>
            <w:tcW w:w="1034" w:type="dxa"/>
            <w:tcBorders>
              <w:top w:val="nil"/>
              <w:left w:val="nil"/>
              <w:bottom w:val="single" w:sz="4" w:space="0" w:color="auto"/>
              <w:right w:val="single" w:sz="4" w:space="0" w:color="auto"/>
            </w:tcBorders>
            <w:shd w:val="clear" w:color="auto" w:fill="auto"/>
            <w:noWrap/>
            <w:vAlign w:val="bottom"/>
            <w:hideMark/>
          </w:tcPr>
          <w:p w14:paraId="0868A534" w14:textId="77777777" w:rsidR="00B54454" w:rsidRPr="00AB09AF" w:rsidRDefault="00B54454" w:rsidP="00A268FE">
            <w:pPr>
              <w:bidi w:val="0"/>
              <w:spacing w:after="0" w:line="360" w:lineRule="auto"/>
              <w:jc w:val="center"/>
              <w:rPr>
                <w:rFonts w:asciiTheme="majorBidi" w:eastAsia="Times New Roman" w:hAnsiTheme="majorBidi" w:cstheme="majorBidi"/>
                <w:color w:val="000000" w:themeColor="text1"/>
                <w:lang w:bidi="ar-SA"/>
              </w:rPr>
            </w:pPr>
            <w:r w:rsidRPr="00AB09AF">
              <w:rPr>
                <w:rFonts w:asciiTheme="majorBidi" w:eastAsia="Times New Roman" w:hAnsiTheme="majorBidi" w:cstheme="majorBidi"/>
                <w:color w:val="000000" w:themeColor="text1"/>
                <w:lang w:bidi="ar-SA"/>
              </w:rPr>
              <w:t>0.074</w:t>
            </w:r>
          </w:p>
        </w:tc>
      </w:tr>
    </w:tbl>
    <w:p w14:paraId="75BF1DD9" w14:textId="77777777" w:rsidR="00FC6240" w:rsidRPr="005A72B5" w:rsidRDefault="00FC6240" w:rsidP="005A72B5">
      <w:pPr>
        <w:bidi w:val="0"/>
        <w:spacing w:line="480" w:lineRule="auto"/>
        <w:jc w:val="lowKashida"/>
        <w:rPr>
          <w:rFonts w:asciiTheme="majorBidi" w:hAnsiTheme="majorBidi" w:cstheme="majorBidi"/>
          <w:sz w:val="24"/>
          <w:szCs w:val="24"/>
          <w:lang w:bidi="ar-SA"/>
        </w:rPr>
      </w:pPr>
    </w:p>
    <w:p w14:paraId="159A6E08" w14:textId="42C3B0A7" w:rsidR="00775402" w:rsidRDefault="00FC6240" w:rsidP="005A72B5">
      <w:pPr>
        <w:bidi w:val="0"/>
        <w:spacing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In Table 3, univariate analysis compared LVA formation based on individual variables, underlying diseases and blood factors. According to the data shown in the table, the mean age of patients with LVA was significantly higher (P&lt;0.001) than those without LVA. Similarly, the percentage of LVA formation was significantly higher (P=0.009) in patients with HTN (22.2%) compared to those without HTN (9.1%). Moreover, LVA formation was observed to have significantly higher (P&lt;0.001) percentage in patients with DM (32.5%) as compared to </w:t>
      </w:r>
      <w:r w:rsidRPr="005A72B5">
        <w:rPr>
          <w:rFonts w:asciiTheme="majorBidi" w:hAnsiTheme="majorBidi" w:cstheme="majorBidi"/>
          <w:sz w:val="24"/>
          <w:szCs w:val="24"/>
          <w:lang w:bidi="ar-SA"/>
        </w:rPr>
        <w:lastRenderedPageBreak/>
        <w:t xml:space="preserve">those without DM (5.7%). In a similar vein, the percentage of LVA formation was meaningfully (P=0.009) more in LAD with proximal occlusion (30%) than in those with </w:t>
      </w:r>
      <w:proofErr w:type="spellStart"/>
      <w:r w:rsidRPr="005A72B5">
        <w:rPr>
          <w:rFonts w:asciiTheme="majorBidi" w:hAnsiTheme="majorBidi" w:cstheme="majorBidi"/>
          <w:sz w:val="24"/>
          <w:szCs w:val="24"/>
          <w:lang w:bidi="ar-SA"/>
        </w:rPr>
        <w:t>midpart</w:t>
      </w:r>
      <w:proofErr w:type="spellEnd"/>
      <w:r w:rsidRPr="005A72B5">
        <w:rPr>
          <w:rFonts w:asciiTheme="majorBidi" w:hAnsiTheme="majorBidi" w:cstheme="majorBidi"/>
          <w:sz w:val="24"/>
          <w:szCs w:val="24"/>
          <w:lang w:bidi="ar-SA"/>
        </w:rPr>
        <w:t xml:space="preserve"> (10.9%) and distal (10.9%) occlusion. </w:t>
      </w:r>
      <w:proofErr w:type="gramStart"/>
      <w:r w:rsidRPr="005A72B5">
        <w:rPr>
          <w:rFonts w:asciiTheme="majorBidi" w:hAnsiTheme="majorBidi" w:cstheme="majorBidi"/>
          <w:sz w:val="24"/>
          <w:szCs w:val="24"/>
          <w:lang w:bidi="ar-SA"/>
        </w:rPr>
        <w:t xml:space="preserve">In addition, the mean white blood cell (WBC) and </w:t>
      </w:r>
      <w:proofErr w:type="spellStart"/>
      <w:r w:rsidRPr="005A72B5">
        <w:rPr>
          <w:rFonts w:asciiTheme="majorBidi" w:hAnsiTheme="majorBidi" w:cstheme="majorBidi"/>
          <w:sz w:val="24"/>
          <w:szCs w:val="24"/>
          <w:lang w:bidi="ar-SA"/>
        </w:rPr>
        <w:t>polymorphonuclear</w:t>
      </w:r>
      <w:proofErr w:type="spellEnd"/>
      <w:r w:rsidRPr="005A72B5">
        <w:rPr>
          <w:rFonts w:asciiTheme="majorBidi" w:hAnsiTheme="majorBidi" w:cstheme="majorBidi"/>
          <w:sz w:val="24"/>
          <w:szCs w:val="24"/>
          <w:lang w:bidi="ar-SA"/>
        </w:rPr>
        <w:t xml:space="preserve"> neutrophil (PMN) before PCI-P were statistically significant in the two groups of patients with and without LVA (P&lt;0.001), with WBC and PMN being higher in the group of patients with LVA compared to the other group.</w:t>
      </w:r>
      <w:proofErr w:type="gramEnd"/>
      <w:r w:rsidRPr="005A72B5">
        <w:rPr>
          <w:rFonts w:asciiTheme="majorBidi" w:hAnsiTheme="majorBidi" w:cstheme="majorBidi"/>
          <w:sz w:val="24"/>
          <w:szCs w:val="24"/>
          <w:lang w:bidi="ar-SA"/>
        </w:rPr>
        <w:t xml:space="preserve"> Furthermore, Cr levels prior to P-PCI were higher in patients with LVA than in those without LVA (P&lt;0.001). According to the data of this study, the final TIMI was statistically significant in patients with LVA with the median equal to 2 compared to patients without LVA (P=0.001). In multivariate analysis, a logistic regression model was used to correlate platelet count after P-PCI with LVA formation. The main research variable (platelet count) along with individual and contextual variables as well as significant blood factors in univariate analysis were included in the initial model. </w:t>
      </w:r>
    </w:p>
    <w:p w14:paraId="685CBD79" w14:textId="48DDBDBF" w:rsidR="00775402" w:rsidRDefault="00775402" w:rsidP="00775402">
      <w:pPr>
        <w:bidi w:val="0"/>
        <w:spacing w:line="480" w:lineRule="auto"/>
        <w:jc w:val="lowKashida"/>
        <w:rPr>
          <w:rFonts w:asciiTheme="majorBidi" w:hAnsiTheme="majorBidi" w:cstheme="majorBidi"/>
          <w:sz w:val="24"/>
          <w:szCs w:val="24"/>
          <w:lang w:bidi="ar-SA"/>
        </w:rPr>
      </w:pPr>
    </w:p>
    <w:p w14:paraId="7DC52CB6" w14:textId="10514AA4" w:rsidR="00775402" w:rsidRDefault="00775402" w:rsidP="00775402">
      <w:pPr>
        <w:bidi w:val="0"/>
        <w:spacing w:line="480" w:lineRule="auto"/>
        <w:jc w:val="lowKashida"/>
        <w:rPr>
          <w:rFonts w:asciiTheme="majorBidi" w:hAnsiTheme="majorBidi" w:cstheme="majorBidi"/>
          <w:sz w:val="24"/>
          <w:szCs w:val="24"/>
          <w:lang w:bidi="ar-SA"/>
        </w:rPr>
      </w:pPr>
    </w:p>
    <w:p w14:paraId="19A92742" w14:textId="0953D2DE" w:rsidR="00775402" w:rsidRDefault="00775402" w:rsidP="00775402">
      <w:pPr>
        <w:bidi w:val="0"/>
        <w:spacing w:line="480" w:lineRule="auto"/>
        <w:jc w:val="lowKashida"/>
        <w:rPr>
          <w:rFonts w:asciiTheme="majorBidi" w:hAnsiTheme="majorBidi" w:cstheme="majorBidi"/>
          <w:sz w:val="24"/>
          <w:szCs w:val="24"/>
          <w:lang w:bidi="ar-SA"/>
        </w:rPr>
      </w:pPr>
    </w:p>
    <w:p w14:paraId="6FCD317D" w14:textId="2DF07402" w:rsidR="00775402" w:rsidRDefault="00775402" w:rsidP="00775402">
      <w:pPr>
        <w:bidi w:val="0"/>
        <w:spacing w:line="480" w:lineRule="auto"/>
        <w:jc w:val="lowKashida"/>
        <w:rPr>
          <w:rFonts w:asciiTheme="majorBidi" w:hAnsiTheme="majorBidi" w:cstheme="majorBidi"/>
          <w:sz w:val="24"/>
          <w:szCs w:val="24"/>
          <w:lang w:bidi="ar-SA"/>
        </w:rPr>
      </w:pPr>
    </w:p>
    <w:p w14:paraId="7C9F4445" w14:textId="050AF937" w:rsidR="00775402" w:rsidRDefault="00775402" w:rsidP="00775402">
      <w:pPr>
        <w:bidi w:val="0"/>
        <w:spacing w:line="480" w:lineRule="auto"/>
        <w:jc w:val="lowKashida"/>
        <w:rPr>
          <w:rFonts w:asciiTheme="majorBidi" w:hAnsiTheme="majorBidi" w:cstheme="majorBidi"/>
          <w:sz w:val="24"/>
          <w:szCs w:val="24"/>
          <w:lang w:bidi="ar-SA"/>
        </w:rPr>
      </w:pPr>
    </w:p>
    <w:p w14:paraId="1107670F" w14:textId="64096724" w:rsidR="00775402" w:rsidRDefault="00775402" w:rsidP="00775402">
      <w:pPr>
        <w:bidi w:val="0"/>
        <w:spacing w:line="480" w:lineRule="auto"/>
        <w:jc w:val="lowKashida"/>
        <w:rPr>
          <w:rFonts w:asciiTheme="majorBidi" w:hAnsiTheme="majorBidi" w:cstheme="majorBidi"/>
          <w:sz w:val="24"/>
          <w:szCs w:val="24"/>
          <w:lang w:bidi="ar-SA"/>
        </w:rPr>
      </w:pPr>
    </w:p>
    <w:p w14:paraId="57C6AEDC" w14:textId="7C2F2581" w:rsidR="00775402" w:rsidRDefault="00775402" w:rsidP="00775402">
      <w:pPr>
        <w:bidi w:val="0"/>
        <w:spacing w:line="480" w:lineRule="auto"/>
        <w:jc w:val="lowKashida"/>
        <w:rPr>
          <w:rFonts w:asciiTheme="majorBidi" w:hAnsiTheme="majorBidi" w:cstheme="majorBidi"/>
          <w:sz w:val="24"/>
          <w:szCs w:val="24"/>
          <w:lang w:bidi="ar-SA"/>
        </w:rPr>
      </w:pPr>
    </w:p>
    <w:p w14:paraId="37BEC22C" w14:textId="2C2BD2A6" w:rsidR="00775402" w:rsidRDefault="00775402" w:rsidP="00775402">
      <w:pPr>
        <w:bidi w:val="0"/>
        <w:spacing w:line="480" w:lineRule="auto"/>
        <w:jc w:val="lowKashida"/>
        <w:rPr>
          <w:rFonts w:asciiTheme="majorBidi" w:hAnsiTheme="majorBidi" w:cstheme="majorBidi"/>
          <w:sz w:val="24"/>
          <w:szCs w:val="24"/>
          <w:lang w:bidi="ar-SA"/>
        </w:rPr>
      </w:pPr>
    </w:p>
    <w:p w14:paraId="283CFAC8" w14:textId="77777777" w:rsidR="00775402" w:rsidRDefault="00775402" w:rsidP="00775402">
      <w:pPr>
        <w:bidi w:val="0"/>
        <w:spacing w:line="480" w:lineRule="auto"/>
        <w:jc w:val="lowKashida"/>
        <w:rPr>
          <w:rFonts w:asciiTheme="majorBidi" w:hAnsiTheme="majorBidi" w:cstheme="majorBidi"/>
          <w:sz w:val="24"/>
          <w:szCs w:val="24"/>
          <w:lang w:bidi="ar-SA"/>
        </w:rPr>
      </w:pPr>
    </w:p>
    <w:p w14:paraId="48613A2C" w14:textId="77777777" w:rsidR="00775402" w:rsidRPr="00775402" w:rsidRDefault="00775402" w:rsidP="00775402">
      <w:pPr>
        <w:bidi w:val="0"/>
        <w:spacing w:line="480" w:lineRule="auto"/>
        <w:jc w:val="lowKashida"/>
        <w:rPr>
          <w:rFonts w:asciiTheme="majorBidi" w:hAnsiTheme="majorBidi" w:cstheme="majorBidi"/>
          <w:color w:val="000000" w:themeColor="text1"/>
          <w:sz w:val="24"/>
          <w:szCs w:val="24"/>
        </w:rPr>
      </w:pPr>
      <w:r w:rsidRPr="00775402">
        <w:rPr>
          <w:rFonts w:asciiTheme="majorBidi" w:hAnsiTheme="majorBidi" w:cstheme="majorBidi"/>
          <w:color w:val="000000" w:themeColor="text1"/>
          <w:sz w:val="24"/>
          <w:szCs w:val="24"/>
        </w:rPr>
        <w:lastRenderedPageBreak/>
        <w:t>Table 4-</w:t>
      </w:r>
      <w:r w:rsidRPr="00775402">
        <w:rPr>
          <w:color w:val="000000" w:themeColor="text1"/>
          <w:lang w:val="en"/>
        </w:rPr>
        <w:t xml:space="preserve"> </w:t>
      </w:r>
      <w:r w:rsidRPr="00775402">
        <w:rPr>
          <w:rFonts w:asciiTheme="majorBidi" w:hAnsiTheme="majorBidi" w:cstheme="majorBidi"/>
          <w:color w:val="000000" w:themeColor="text1"/>
          <w:sz w:val="24"/>
          <w:szCs w:val="24"/>
          <w:lang w:val="en"/>
        </w:rPr>
        <w:t>Regression coefficients and odds ratios of factors associated with LVA</w:t>
      </w:r>
    </w:p>
    <w:tbl>
      <w:tblPr>
        <w:tblStyle w:val="TableGrid5"/>
        <w:tblW w:w="9716" w:type="dxa"/>
        <w:tblLayout w:type="fixed"/>
        <w:tblLook w:val="0000" w:firstRow="0" w:lastRow="0" w:firstColumn="0" w:lastColumn="0" w:noHBand="0" w:noVBand="0"/>
      </w:tblPr>
      <w:tblGrid>
        <w:gridCol w:w="988"/>
        <w:gridCol w:w="2126"/>
        <w:gridCol w:w="1134"/>
        <w:gridCol w:w="992"/>
        <w:gridCol w:w="1134"/>
        <w:gridCol w:w="1134"/>
        <w:gridCol w:w="992"/>
        <w:gridCol w:w="1216"/>
      </w:tblGrid>
      <w:tr w:rsidR="00775402" w:rsidRPr="00775402" w14:paraId="68B2E347" w14:textId="77777777" w:rsidTr="00B43C04">
        <w:tc>
          <w:tcPr>
            <w:tcW w:w="3114" w:type="dxa"/>
            <w:gridSpan w:val="2"/>
            <w:vMerge w:val="restart"/>
          </w:tcPr>
          <w:p w14:paraId="5501895E"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1134" w:type="dxa"/>
            <w:vMerge w:val="restart"/>
          </w:tcPr>
          <w:p w14:paraId="36FFBDC1"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B</w:t>
            </w:r>
          </w:p>
        </w:tc>
        <w:tc>
          <w:tcPr>
            <w:tcW w:w="992" w:type="dxa"/>
            <w:vMerge w:val="restart"/>
          </w:tcPr>
          <w:p w14:paraId="0C1F7074"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S.E.</w:t>
            </w:r>
          </w:p>
        </w:tc>
        <w:tc>
          <w:tcPr>
            <w:tcW w:w="1134" w:type="dxa"/>
            <w:vMerge w:val="restart"/>
          </w:tcPr>
          <w:p w14:paraId="2D29D5BA"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Sig.</w:t>
            </w:r>
          </w:p>
        </w:tc>
        <w:tc>
          <w:tcPr>
            <w:tcW w:w="1134" w:type="dxa"/>
            <w:vMerge w:val="restart"/>
          </w:tcPr>
          <w:p w14:paraId="38F91444"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Odds Ratio</w:t>
            </w:r>
          </w:p>
        </w:tc>
        <w:tc>
          <w:tcPr>
            <w:tcW w:w="2208" w:type="dxa"/>
            <w:gridSpan w:val="2"/>
          </w:tcPr>
          <w:p w14:paraId="468B4A6C"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 xml:space="preserve">95% </w:t>
            </w:r>
            <w:proofErr w:type="spellStart"/>
            <w:r w:rsidRPr="00775402">
              <w:rPr>
                <w:rFonts w:asciiTheme="majorBidi" w:hAnsiTheme="majorBidi" w:cstheme="majorBidi"/>
                <w:b/>
                <w:bCs/>
                <w:color w:val="000000" w:themeColor="text1"/>
              </w:rPr>
              <w:t>C.I.for</w:t>
            </w:r>
            <w:proofErr w:type="spellEnd"/>
            <w:r w:rsidRPr="00775402">
              <w:rPr>
                <w:rFonts w:asciiTheme="majorBidi" w:hAnsiTheme="majorBidi" w:cstheme="majorBidi"/>
                <w:b/>
                <w:bCs/>
                <w:color w:val="000000" w:themeColor="text1"/>
              </w:rPr>
              <w:t xml:space="preserve"> OR</w:t>
            </w:r>
          </w:p>
        </w:tc>
      </w:tr>
      <w:tr w:rsidR="00775402" w:rsidRPr="00775402" w14:paraId="6112989A" w14:textId="77777777" w:rsidTr="00B43C04">
        <w:tc>
          <w:tcPr>
            <w:tcW w:w="3114" w:type="dxa"/>
            <w:gridSpan w:val="2"/>
            <w:vMerge/>
          </w:tcPr>
          <w:p w14:paraId="31C61706"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1134" w:type="dxa"/>
            <w:vMerge/>
          </w:tcPr>
          <w:p w14:paraId="176E212A"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992" w:type="dxa"/>
            <w:vMerge/>
          </w:tcPr>
          <w:p w14:paraId="76FB15E1"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1134" w:type="dxa"/>
            <w:vMerge/>
          </w:tcPr>
          <w:p w14:paraId="19835FD6"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1134" w:type="dxa"/>
            <w:vMerge/>
          </w:tcPr>
          <w:p w14:paraId="60005B66" w14:textId="77777777" w:rsidR="00775402" w:rsidRPr="00775402" w:rsidRDefault="00775402" w:rsidP="00775402">
            <w:pPr>
              <w:autoSpaceDE w:val="0"/>
              <w:autoSpaceDN w:val="0"/>
              <w:bidi w:val="0"/>
              <w:adjustRightInd w:val="0"/>
              <w:rPr>
                <w:rFonts w:asciiTheme="majorBidi" w:hAnsiTheme="majorBidi" w:cstheme="majorBidi"/>
                <w:b/>
                <w:bCs/>
                <w:color w:val="000000" w:themeColor="text1"/>
              </w:rPr>
            </w:pPr>
          </w:p>
        </w:tc>
        <w:tc>
          <w:tcPr>
            <w:tcW w:w="992" w:type="dxa"/>
          </w:tcPr>
          <w:p w14:paraId="08BF3CE9"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Lower</w:t>
            </w:r>
          </w:p>
        </w:tc>
        <w:tc>
          <w:tcPr>
            <w:tcW w:w="1216" w:type="dxa"/>
          </w:tcPr>
          <w:p w14:paraId="2B907CDB" w14:textId="77777777" w:rsidR="00775402" w:rsidRPr="00775402" w:rsidRDefault="00775402" w:rsidP="00775402">
            <w:pPr>
              <w:autoSpaceDE w:val="0"/>
              <w:autoSpaceDN w:val="0"/>
              <w:bidi w:val="0"/>
              <w:adjustRightInd w:val="0"/>
              <w:spacing w:line="320" w:lineRule="atLeast"/>
              <w:ind w:left="60" w:right="60"/>
              <w:jc w:val="center"/>
              <w:rPr>
                <w:rFonts w:asciiTheme="majorBidi" w:hAnsiTheme="majorBidi" w:cstheme="majorBidi"/>
                <w:b/>
                <w:bCs/>
                <w:color w:val="000000" w:themeColor="text1"/>
              </w:rPr>
            </w:pPr>
            <w:r w:rsidRPr="00775402">
              <w:rPr>
                <w:rFonts w:asciiTheme="majorBidi" w:hAnsiTheme="majorBidi" w:cstheme="majorBidi"/>
                <w:b/>
                <w:bCs/>
                <w:color w:val="000000" w:themeColor="text1"/>
              </w:rPr>
              <w:t>Upper</w:t>
            </w:r>
          </w:p>
        </w:tc>
      </w:tr>
      <w:tr w:rsidR="00775402" w:rsidRPr="00775402" w14:paraId="3FAFA139" w14:textId="77777777" w:rsidTr="00B43C04">
        <w:tc>
          <w:tcPr>
            <w:tcW w:w="988" w:type="dxa"/>
            <w:vMerge w:val="restart"/>
          </w:tcPr>
          <w:p w14:paraId="21752AE2" w14:textId="77777777" w:rsidR="00775402" w:rsidRPr="00775402" w:rsidRDefault="00775402" w:rsidP="00B43C04">
            <w:pPr>
              <w:autoSpaceDE w:val="0"/>
              <w:autoSpaceDN w:val="0"/>
              <w:adjustRightInd w:val="0"/>
              <w:spacing w:line="320" w:lineRule="atLeast"/>
              <w:ind w:left="60" w:right="60"/>
              <w:rPr>
                <w:rFonts w:asciiTheme="majorBidi" w:hAnsiTheme="majorBidi" w:cstheme="majorBidi"/>
                <w:b/>
                <w:bCs/>
                <w:color w:val="000000" w:themeColor="text1"/>
                <w:rtl/>
                <w:lang w:bidi="fa-IR"/>
              </w:rPr>
            </w:pPr>
            <w:r w:rsidRPr="00775402">
              <w:rPr>
                <w:rFonts w:asciiTheme="majorBidi" w:hAnsiTheme="majorBidi" w:cstheme="majorBidi"/>
                <w:b/>
                <w:bCs/>
                <w:color w:val="000000" w:themeColor="text1"/>
                <w:sz w:val="24"/>
                <w:szCs w:val="24"/>
                <w:lang w:bidi="fa-IR"/>
              </w:rPr>
              <w:t>Primary model</w:t>
            </w:r>
          </w:p>
        </w:tc>
        <w:tc>
          <w:tcPr>
            <w:tcW w:w="2126" w:type="dxa"/>
          </w:tcPr>
          <w:p w14:paraId="26FAD8E6"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Sex</w:t>
            </w:r>
          </w:p>
        </w:tc>
        <w:tc>
          <w:tcPr>
            <w:tcW w:w="1134" w:type="dxa"/>
          </w:tcPr>
          <w:p w14:paraId="005FBD4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.36441</w:t>
            </w:r>
          </w:p>
        </w:tc>
        <w:tc>
          <w:tcPr>
            <w:tcW w:w="992" w:type="dxa"/>
          </w:tcPr>
          <w:p w14:paraId="73EC4E5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.54547</w:t>
            </w:r>
          </w:p>
        </w:tc>
        <w:tc>
          <w:tcPr>
            <w:tcW w:w="1134" w:type="dxa"/>
          </w:tcPr>
          <w:p w14:paraId="4B853BE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.50409</w:t>
            </w:r>
          </w:p>
        </w:tc>
        <w:tc>
          <w:tcPr>
            <w:tcW w:w="1134" w:type="dxa"/>
          </w:tcPr>
          <w:p w14:paraId="5157602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1.440</w:t>
            </w:r>
          </w:p>
        </w:tc>
        <w:tc>
          <w:tcPr>
            <w:tcW w:w="992" w:type="dxa"/>
          </w:tcPr>
          <w:p w14:paraId="2011DA6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.494</w:t>
            </w:r>
          </w:p>
        </w:tc>
        <w:tc>
          <w:tcPr>
            <w:tcW w:w="1216" w:type="dxa"/>
          </w:tcPr>
          <w:p w14:paraId="67F5119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4.193</w:t>
            </w:r>
          </w:p>
        </w:tc>
      </w:tr>
      <w:tr w:rsidR="00775402" w:rsidRPr="00775402" w14:paraId="1DC1416F" w14:textId="77777777" w:rsidTr="00B43C04">
        <w:tc>
          <w:tcPr>
            <w:tcW w:w="988" w:type="dxa"/>
            <w:vMerge/>
          </w:tcPr>
          <w:p w14:paraId="4FC8CE5D"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65A1AAA3"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Age</w:t>
            </w:r>
          </w:p>
        </w:tc>
        <w:tc>
          <w:tcPr>
            <w:tcW w:w="1134" w:type="dxa"/>
          </w:tcPr>
          <w:p w14:paraId="061C1BC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.08208</w:t>
            </w:r>
          </w:p>
        </w:tc>
        <w:tc>
          <w:tcPr>
            <w:tcW w:w="992" w:type="dxa"/>
          </w:tcPr>
          <w:p w14:paraId="7F62CF6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.02834</w:t>
            </w:r>
          </w:p>
        </w:tc>
        <w:tc>
          <w:tcPr>
            <w:tcW w:w="1134" w:type="dxa"/>
          </w:tcPr>
          <w:p w14:paraId="0CBC678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.00377</w:t>
            </w:r>
          </w:p>
        </w:tc>
        <w:tc>
          <w:tcPr>
            <w:tcW w:w="1134" w:type="dxa"/>
          </w:tcPr>
          <w:p w14:paraId="32DCABA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1.086</w:t>
            </w:r>
          </w:p>
        </w:tc>
        <w:tc>
          <w:tcPr>
            <w:tcW w:w="992" w:type="dxa"/>
          </w:tcPr>
          <w:p w14:paraId="56B1873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1.027</w:t>
            </w:r>
          </w:p>
        </w:tc>
        <w:tc>
          <w:tcPr>
            <w:tcW w:w="1216" w:type="dxa"/>
          </w:tcPr>
          <w:p w14:paraId="739E5F7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1.148</w:t>
            </w:r>
          </w:p>
        </w:tc>
      </w:tr>
      <w:tr w:rsidR="00775402" w:rsidRPr="00775402" w14:paraId="5BC944F1" w14:textId="77777777" w:rsidTr="00B43C04">
        <w:tc>
          <w:tcPr>
            <w:tcW w:w="988" w:type="dxa"/>
            <w:vMerge/>
          </w:tcPr>
          <w:p w14:paraId="19F7F3B4"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584CF297"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Hypertension</w:t>
            </w:r>
          </w:p>
        </w:tc>
        <w:tc>
          <w:tcPr>
            <w:tcW w:w="1134" w:type="dxa"/>
          </w:tcPr>
          <w:p w14:paraId="1B037F8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-.59320</w:t>
            </w:r>
          </w:p>
        </w:tc>
        <w:tc>
          <w:tcPr>
            <w:tcW w:w="992" w:type="dxa"/>
          </w:tcPr>
          <w:p w14:paraId="703FE40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.64063</w:t>
            </w:r>
          </w:p>
        </w:tc>
        <w:tc>
          <w:tcPr>
            <w:tcW w:w="1134" w:type="dxa"/>
          </w:tcPr>
          <w:p w14:paraId="5E1C1B7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.35447</w:t>
            </w:r>
          </w:p>
        </w:tc>
        <w:tc>
          <w:tcPr>
            <w:tcW w:w="1134" w:type="dxa"/>
          </w:tcPr>
          <w:p w14:paraId="77576BB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.553</w:t>
            </w:r>
          </w:p>
        </w:tc>
        <w:tc>
          <w:tcPr>
            <w:tcW w:w="992" w:type="dxa"/>
          </w:tcPr>
          <w:p w14:paraId="6FCD2FF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.157</w:t>
            </w:r>
          </w:p>
        </w:tc>
        <w:tc>
          <w:tcPr>
            <w:tcW w:w="1216" w:type="dxa"/>
          </w:tcPr>
          <w:p w14:paraId="2DB6E05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1.939</w:t>
            </w:r>
          </w:p>
        </w:tc>
      </w:tr>
      <w:tr w:rsidR="00775402" w:rsidRPr="00775402" w14:paraId="2A01ECDA" w14:textId="77777777" w:rsidTr="00B43C04">
        <w:tc>
          <w:tcPr>
            <w:tcW w:w="988" w:type="dxa"/>
            <w:vMerge/>
          </w:tcPr>
          <w:p w14:paraId="5366BB80"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2733F132"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Diabetes mellitus</w:t>
            </w:r>
          </w:p>
        </w:tc>
        <w:tc>
          <w:tcPr>
            <w:tcW w:w="1134" w:type="dxa"/>
          </w:tcPr>
          <w:p w14:paraId="0EB8E0E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.68589</w:t>
            </w:r>
          </w:p>
        </w:tc>
        <w:tc>
          <w:tcPr>
            <w:tcW w:w="992" w:type="dxa"/>
          </w:tcPr>
          <w:p w14:paraId="6598102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.84954</w:t>
            </w:r>
          </w:p>
        </w:tc>
        <w:tc>
          <w:tcPr>
            <w:tcW w:w="1134" w:type="dxa"/>
          </w:tcPr>
          <w:p w14:paraId="15B057A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.41946</w:t>
            </w:r>
          </w:p>
        </w:tc>
        <w:tc>
          <w:tcPr>
            <w:tcW w:w="1134" w:type="dxa"/>
          </w:tcPr>
          <w:p w14:paraId="2920417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1.986</w:t>
            </w:r>
          </w:p>
        </w:tc>
        <w:tc>
          <w:tcPr>
            <w:tcW w:w="992" w:type="dxa"/>
          </w:tcPr>
          <w:p w14:paraId="557C663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.376</w:t>
            </w:r>
          </w:p>
        </w:tc>
        <w:tc>
          <w:tcPr>
            <w:tcW w:w="1216" w:type="dxa"/>
          </w:tcPr>
          <w:p w14:paraId="206A531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10.496</w:t>
            </w:r>
          </w:p>
        </w:tc>
      </w:tr>
      <w:tr w:rsidR="00775402" w:rsidRPr="00775402" w14:paraId="79E923D3" w14:textId="77777777" w:rsidTr="00B43C04">
        <w:tc>
          <w:tcPr>
            <w:tcW w:w="988" w:type="dxa"/>
            <w:vMerge/>
          </w:tcPr>
          <w:p w14:paraId="26E81EB8"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31EF432C"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begining.Cr</w:t>
            </w:r>
            <w:proofErr w:type="spellEnd"/>
          </w:p>
        </w:tc>
        <w:tc>
          <w:tcPr>
            <w:tcW w:w="1134" w:type="dxa"/>
          </w:tcPr>
          <w:p w14:paraId="42F0D00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-.99267</w:t>
            </w:r>
          </w:p>
        </w:tc>
        <w:tc>
          <w:tcPr>
            <w:tcW w:w="992" w:type="dxa"/>
          </w:tcPr>
          <w:p w14:paraId="2B690BE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3.51470</w:t>
            </w:r>
          </w:p>
        </w:tc>
        <w:tc>
          <w:tcPr>
            <w:tcW w:w="1134" w:type="dxa"/>
          </w:tcPr>
          <w:p w14:paraId="77FAB70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.77761</w:t>
            </w:r>
          </w:p>
        </w:tc>
        <w:tc>
          <w:tcPr>
            <w:tcW w:w="1134" w:type="dxa"/>
          </w:tcPr>
          <w:p w14:paraId="684D132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.371</w:t>
            </w:r>
          </w:p>
        </w:tc>
        <w:tc>
          <w:tcPr>
            <w:tcW w:w="992" w:type="dxa"/>
          </w:tcPr>
          <w:p w14:paraId="6FE5EB6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w:t>
            </w:r>
          </w:p>
        </w:tc>
        <w:tc>
          <w:tcPr>
            <w:tcW w:w="1216" w:type="dxa"/>
          </w:tcPr>
          <w:p w14:paraId="6283EB5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363.586</w:t>
            </w:r>
          </w:p>
        </w:tc>
      </w:tr>
      <w:tr w:rsidR="00775402" w:rsidRPr="00775402" w14:paraId="4A5DED72" w14:textId="77777777" w:rsidTr="00B43C04">
        <w:tc>
          <w:tcPr>
            <w:tcW w:w="988" w:type="dxa"/>
            <w:vMerge/>
          </w:tcPr>
          <w:p w14:paraId="00105C14"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0EA919A6"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begining.WBC</w:t>
            </w:r>
            <w:proofErr w:type="spellEnd"/>
          </w:p>
        </w:tc>
        <w:tc>
          <w:tcPr>
            <w:tcW w:w="1134" w:type="dxa"/>
          </w:tcPr>
          <w:p w14:paraId="0849B97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-.00001</w:t>
            </w:r>
          </w:p>
        </w:tc>
        <w:tc>
          <w:tcPr>
            <w:tcW w:w="992" w:type="dxa"/>
          </w:tcPr>
          <w:p w14:paraId="0F5DE32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.00002</w:t>
            </w:r>
          </w:p>
        </w:tc>
        <w:tc>
          <w:tcPr>
            <w:tcW w:w="1134" w:type="dxa"/>
          </w:tcPr>
          <w:p w14:paraId="1FDFD7F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.74480</w:t>
            </w:r>
          </w:p>
        </w:tc>
        <w:tc>
          <w:tcPr>
            <w:tcW w:w="1134" w:type="dxa"/>
          </w:tcPr>
          <w:p w14:paraId="696C874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992" w:type="dxa"/>
          </w:tcPr>
          <w:p w14:paraId="038F463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1216" w:type="dxa"/>
          </w:tcPr>
          <w:p w14:paraId="2A84F95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r>
      <w:tr w:rsidR="00775402" w:rsidRPr="00775402" w14:paraId="01089D75" w14:textId="77777777" w:rsidTr="00B43C04">
        <w:tc>
          <w:tcPr>
            <w:tcW w:w="988" w:type="dxa"/>
            <w:vMerge/>
          </w:tcPr>
          <w:p w14:paraId="106B17C4"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777B7C83"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after.WBC</w:t>
            </w:r>
            <w:proofErr w:type="spellEnd"/>
          </w:p>
        </w:tc>
        <w:tc>
          <w:tcPr>
            <w:tcW w:w="1134" w:type="dxa"/>
          </w:tcPr>
          <w:p w14:paraId="5764A44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.00001</w:t>
            </w:r>
          </w:p>
        </w:tc>
        <w:tc>
          <w:tcPr>
            <w:tcW w:w="992" w:type="dxa"/>
          </w:tcPr>
          <w:p w14:paraId="4AFF06D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.00003</w:t>
            </w:r>
          </w:p>
        </w:tc>
        <w:tc>
          <w:tcPr>
            <w:tcW w:w="1134" w:type="dxa"/>
          </w:tcPr>
          <w:p w14:paraId="34B6582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.78744</w:t>
            </w:r>
          </w:p>
        </w:tc>
        <w:tc>
          <w:tcPr>
            <w:tcW w:w="1134" w:type="dxa"/>
          </w:tcPr>
          <w:p w14:paraId="52606ED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992" w:type="dxa"/>
          </w:tcPr>
          <w:p w14:paraId="5888069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1216" w:type="dxa"/>
          </w:tcPr>
          <w:p w14:paraId="7570BCD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r>
      <w:tr w:rsidR="00775402" w:rsidRPr="00775402" w14:paraId="7611DF7F" w14:textId="77777777" w:rsidTr="00B43C04">
        <w:tc>
          <w:tcPr>
            <w:tcW w:w="988" w:type="dxa"/>
            <w:vMerge/>
          </w:tcPr>
          <w:p w14:paraId="428D4AF9"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41821883"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after.Cr</w:t>
            </w:r>
            <w:proofErr w:type="spellEnd"/>
          </w:p>
        </w:tc>
        <w:tc>
          <w:tcPr>
            <w:tcW w:w="1134" w:type="dxa"/>
          </w:tcPr>
          <w:p w14:paraId="36F327A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7.60472</w:t>
            </w:r>
          </w:p>
        </w:tc>
        <w:tc>
          <w:tcPr>
            <w:tcW w:w="992" w:type="dxa"/>
          </w:tcPr>
          <w:p w14:paraId="294588F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2.35663</w:t>
            </w:r>
          </w:p>
        </w:tc>
        <w:tc>
          <w:tcPr>
            <w:tcW w:w="1134" w:type="dxa"/>
          </w:tcPr>
          <w:p w14:paraId="6BA3336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.00125</w:t>
            </w:r>
          </w:p>
        </w:tc>
        <w:tc>
          <w:tcPr>
            <w:tcW w:w="1134" w:type="dxa"/>
          </w:tcPr>
          <w:p w14:paraId="6EF7FCE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2007.646</w:t>
            </w:r>
          </w:p>
        </w:tc>
        <w:tc>
          <w:tcPr>
            <w:tcW w:w="992" w:type="dxa"/>
          </w:tcPr>
          <w:p w14:paraId="3AAE78A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19.802</w:t>
            </w:r>
          </w:p>
        </w:tc>
        <w:tc>
          <w:tcPr>
            <w:tcW w:w="1216" w:type="dxa"/>
          </w:tcPr>
          <w:p w14:paraId="5257317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203543.979</w:t>
            </w:r>
          </w:p>
        </w:tc>
      </w:tr>
      <w:tr w:rsidR="00775402" w:rsidRPr="00775402" w14:paraId="37667D54" w14:textId="77777777" w:rsidTr="00B43C04">
        <w:tc>
          <w:tcPr>
            <w:tcW w:w="988" w:type="dxa"/>
            <w:vMerge/>
          </w:tcPr>
          <w:p w14:paraId="26B80499"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7C9525FD"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time.8_12.hours.EF</w:t>
            </w:r>
          </w:p>
        </w:tc>
        <w:tc>
          <w:tcPr>
            <w:tcW w:w="1134" w:type="dxa"/>
          </w:tcPr>
          <w:p w14:paraId="00DF54E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.08772</w:t>
            </w:r>
          </w:p>
        </w:tc>
        <w:tc>
          <w:tcPr>
            <w:tcW w:w="992" w:type="dxa"/>
          </w:tcPr>
          <w:p w14:paraId="12C8A3F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.11763</w:t>
            </w:r>
          </w:p>
        </w:tc>
        <w:tc>
          <w:tcPr>
            <w:tcW w:w="1134" w:type="dxa"/>
          </w:tcPr>
          <w:p w14:paraId="36462AB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.45586</w:t>
            </w:r>
          </w:p>
        </w:tc>
        <w:tc>
          <w:tcPr>
            <w:tcW w:w="1134" w:type="dxa"/>
          </w:tcPr>
          <w:p w14:paraId="3CE1B5D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1.092</w:t>
            </w:r>
          </w:p>
        </w:tc>
        <w:tc>
          <w:tcPr>
            <w:tcW w:w="992" w:type="dxa"/>
          </w:tcPr>
          <w:p w14:paraId="3A09C4E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.867</w:t>
            </w:r>
          </w:p>
        </w:tc>
        <w:tc>
          <w:tcPr>
            <w:tcW w:w="1216" w:type="dxa"/>
          </w:tcPr>
          <w:p w14:paraId="23D4D7C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1.375</w:t>
            </w:r>
          </w:p>
        </w:tc>
      </w:tr>
      <w:tr w:rsidR="00775402" w:rsidRPr="00775402" w14:paraId="42CA0000" w14:textId="77777777" w:rsidTr="00B43C04">
        <w:tc>
          <w:tcPr>
            <w:tcW w:w="988" w:type="dxa"/>
            <w:vMerge/>
          </w:tcPr>
          <w:p w14:paraId="71E2D468"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25FB9245"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time.10.months.EF</w:t>
            </w:r>
          </w:p>
        </w:tc>
        <w:tc>
          <w:tcPr>
            <w:tcW w:w="1134" w:type="dxa"/>
          </w:tcPr>
          <w:p w14:paraId="3F27178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-.23121</w:t>
            </w:r>
          </w:p>
        </w:tc>
        <w:tc>
          <w:tcPr>
            <w:tcW w:w="992" w:type="dxa"/>
          </w:tcPr>
          <w:p w14:paraId="59BEE4FE"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.12453</w:t>
            </w:r>
          </w:p>
        </w:tc>
        <w:tc>
          <w:tcPr>
            <w:tcW w:w="1134" w:type="dxa"/>
          </w:tcPr>
          <w:p w14:paraId="0B63D8A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.06336</w:t>
            </w:r>
          </w:p>
        </w:tc>
        <w:tc>
          <w:tcPr>
            <w:tcW w:w="1134" w:type="dxa"/>
          </w:tcPr>
          <w:p w14:paraId="107AC26E"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.794</w:t>
            </w:r>
          </w:p>
        </w:tc>
        <w:tc>
          <w:tcPr>
            <w:tcW w:w="992" w:type="dxa"/>
          </w:tcPr>
          <w:p w14:paraId="5081A7F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.622</w:t>
            </w:r>
          </w:p>
        </w:tc>
        <w:tc>
          <w:tcPr>
            <w:tcW w:w="1216" w:type="dxa"/>
          </w:tcPr>
          <w:p w14:paraId="191481F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1.013</w:t>
            </w:r>
          </w:p>
        </w:tc>
      </w:tr>
      <w:tr w:rsidR="00775402" w:rsidRPr="00775402" w14:paraId="55C54644" w14:textId="77777777" w:rsidTr="00B43C04">
        <w:tc>
          <w:tcPr>
            <w:tcW w:w="988" w:type="dxa"/>
            <w:vMerge/>
          </w:tcPr>
          <w:p w14:paraId="5A6EC6BB"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66CADFC1"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begining.PMN</w:t>
            </w:r>
            <w:proofErr w:type="spellEnd"/>
          </w:p>
        </w:tc>
        <w:tc>
          <w:tcPr>
            <w:tcW w:w="1134" w:type="dxa"/>
          </w:tcPr>
          <w:p w14:paraId="0FF6D79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.00104</w:t>
            </w:r>
          </w:p>
        </w:tc>
        <w:tc>
          <w:tcPr>
            <w:tcW w:w="992" w:type="dxa"/>
          </w:tcPr>
          <w:p w14:paraId="0BB8911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.00052</w:t>
            </w:r>
          </w:p>
        </w:tc>
        <w:tc>
          <w:tcPr>
            <w:tcW w:w="1134" w:type="dxa"/>
          </w:tcPr>
          <w:p w14:paraId="42A3212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.04804</w:t>
            </w:r>
          </w:p>
        </w:tc>
        <w:tc>
          <w:tcPr>
            <w:tcW w:w="1134" w:type="dxa"/>
          </w:tcPr>
          <w:p w14:paraId="073ADFE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1.001</w:t>
            </w:r>
          </w:p>
        </w:tc>
        <w:tc>
          <w:tcPr>
            <w:tcW w:w="992" w:type="dxa"/>
          </w:tcPr>
          <w:p w14:paraId="78AC96D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1216" w:type="dxa"/>
          </w:tcPr>
          <w:p w14:paraId="102425A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1.002</w:t>
            </w:r>
          </w:p>
        </w:tc>
      </w:tr>
      <w:tr w:rsidR="00775402" w:rsidRPr="00775402" w14:paraId="3DACB017" w14:textId="77777777" w:rsidTr="00B43C04">
        <w:tc>
          <w:tcPr>
            <w:tcW w:w="988" w:type="dxa"/>
            <w:vMerge/>
          </w:tcPr>
          <w:p w14:paraId="0C258D4D"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17AA7A59"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Final TIMI</w:t>
            </w:r>
          </w:p>
        </w:tc>
        <w:tc>
          <w:tcPr>
            <w:tcW w:w="1134" w:type="dxa"/>
          </w:tcPr>
          <w:p w14:paraId="022464B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-1.86874</w:t>
            </w:r>
          </w:p>
        </w:tc>
        <w:tc>
          <w:tcPr>
            <w:tcW w:w="992" w:type="dxa"/>
          </w:tcPr>
          <w:p w14:paraId="4938F67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.54002</w:t>
            </w:r>
          </w:p>
        </w:tc>
        <w:tc>
          <w:tcPr>
            <w:tcW w:w="1134" w:type="dxa"/>
          </w:tcPr>
          <w:p w14:paraId="2954AE65"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.00054</w:t>
            </w:r>
          </w:p>
        </w:tc>
        <w:tc>
          <w:tcPr>
            <w:tcW w:w="1134" w:type="dxa"/>
          </w:tcPr>
          <w:p w14:paraId="30B31DC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.154</w:t>
            </w:r>
          </w:p>
        </w:tc>
        <w:tc>
          <w:tcPr>
            <w:tcW w:w="992" w:type="dxa"/>
          </w:tcPr>
          <w:p w14:paraId="628A20E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.054</w:t>
            </w:r>
          </w:p>
        </w:tc>
        <w:tc>
          <w:tcPr>
            <w:tcW w:w="1216" w:type="dxa"/>
          </w:tcPr>
          <w:p w14:paraId="681D0DF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.445</w:t>
            </w:r>
          </w:p>
        </w:tc>
      </w:tr>
      <w:tr w:rsidR="00775402" w:rsidRPr="00775402" w14:paraId="603C3510" w14:textId="77777777" w:rsidTr="00B43C04">
        <w:tc>
          <w:tcPr>
            <w:tcW w:w="988" w:type="dxa"/>
            <w:vMerge/>
          </w:tcPr>
          <w:p w14:paraId="24EC3E85"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162737D4"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after.PLT</w:t>
            </w:r>
            <w:proofErr w:type="spellEnd"/>
          </w:p>
        </w:tc>
        <w:tc>
          <w:tcPr>
            <w:tcW w:w="1134" w:type="dxa"/>
          </w:tcPr>
          <w:p w14:paraId="79958CB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-.00001</w:t>
            </w:r>
          </w:p>
        </w:tc>
        <w:tc>
          <w:tcPr>
            <w:tcW w:w="992" w:type="dxa"/>
          </w:tcPr>
          <w:p w14:paraId="79452ED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.00001</w:t>
            </w:r>
          </w:p>
        </w:tc>
        <w:tc>
          <w:tcPr>
            <w:tcW w:w="1134" w:type="dxa"/>
          </w:tcPr>
          <w:p w14:paraId="6E23A60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.03511</w:t>
            </w:r>
          </w:p>
        </w:tc>
        <w:tc>
          <w:tcPr>
            <w:tcW w:w="1134" w:type="dxa"/>
          </w:tcPr>
          <w:p w14:paraId="68A5615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992" w:type="dxa"/>
          </w:tcPr>
          <w:p w14:paraId="2B9417C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c>
          <w:tcPr>
            <w:tcW w:w="1216" w:type="dxa"/>
          </w:tcPr>
          <w:p w14:paraId="6B60161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w:t>
            </w:r>
          </w:p>
        </w:tc>
      </w:tr>
      <w:tr w:rsidR="00775402" w:rsidRPr="00775402" w14:paraId="4C9DE382" w14:textId="77777777" w:rsidTr="00B43C04">
        <w:tc>
          <w:tcPr>
            <w:tcW w:w="988" w:type="dxa"/>
            <w:vMerge/>
          </w:tcPr>
          <w:p w14:paraId="00CC9663"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43B1F2D6"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Constant</w:t>
            </w:r>
          </w:p>
        </w:tc>
        <w:tc>
          <w:tcPr>
            <w:tcW w:w="1134" w:type="dxa"/>
          </w:tcPr>
          <w:p w14:paraId="1CBDCF4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-11.88492</w:t>
            </w:r>
          </w:p>
        </w:tc>
        <w:tc>
          <w:tcPr>
            <w:tcW w:w="992" w:type="dxa"/>
          </w:tcPr>
          <w:p w14:paraId="38C61D2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7.41977</w:t>
            </w:r>
          </w:p>
        </w:tc>
        <w:tc>
          <w:tcPr>
            <w:tcW w:w="1134" w:type="dxa"/>
          </w:tcPr>
          <w:p w14:paraId="23584D4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.10920</w:t>
            </w:r>
          </w:p>
        </w:tc>
        <w:tc>
          <w:tcPr>
            <w:tcW w:w="1134" w:type="dxa"/>
          </w:tcPr>
          <w:p w14:paraId="0D98C7C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w:t>
            </w:r>
          </w:p>
        </w:tc>
        <w:tc>
          <w:tcPr>
            <w:tcW w:w="992" w:type="dxa"/>
          </w:tcPr>
          <w:p w14:paraId="3933E45F" w14:textId="77777777" w:rsidR="00775402" w:rsidRPr="00775402" w:rsidRDefault="00775402" w:rsidP="00775402">
            <w:pPr>
              <w:autoSpaceDE w:val="0"/>
              <w:autoSpaceDN w:val="0"/>
              <w:bidi w:val="0"/>
              <w:adjustRightInd w:val="0"/>
              <w:rPr>
                <w:rFonts w:asciiTheme="majorBidi" w:hAnsiTheme="majorBidi" w:cstheme="majorBidi"/>
                <w:color w:val="000000" w:themeColor="text1"/>
                <w:sz w:val="24"/>
                <w:szCs w:val="24"/>
              </w:rPr>
            </w:pPr>
          </w:p>
        </w:tc>
        <w:tc>
          <w:tcPr>
            <w:tcW w:w="1216" w:type="dxa"/>
          </w:tcPr>
          <w:p w14:paraId="16CCDF44" w14:textId="77777777" w:rsidR="00775402" w:rsidRPr="00775402" w:rsidRDefault="00775402" w:rsidP="00775402">
            <w:pPr>
              <w:autoSpaceDE w:val="0"/>
              <w:autoSpaceDN w:val="0"/>
              <w:bidi w:val="0"/>
              <w:adjustRightInd w:val="0"/>
              <w:rPr>
                <w:rFonts w:asciiTheme="majorBidi" w:hAnsiTheme="majorBidi" w:cstheme="majorBidi"/>
                <w:color w:val="000000" w:themeColor="text1"/>
                <w:sz w:val="24"/>
                <w:szCs w:val="24"/>
              </w:rPr>
            </w:pPr>
          </w:p>
        </w:tc>
      </w:tr>
      <w:tr w:rsidR="00775402" w:rsidRPr="00775402" w14:paraId="0AE362FF" w14:textId="77777777" w:rsidTr="00B43C04">
        <w:tc>
          <w:tcPr>
            <w:tcW w:w="988" w:type="dxa"/>
            <w:vMerge w:val="restart"/>
          </w:tcPr>
          <w:p w14:paraId="602DC7B8" w14:textId="77777777" w:rsidR="00775402" w:rsidRPr="00775402" w:rsidRDefault="00775402" w:rsidP="00B43C04">
            <w:pPr>
              <w:autoSpaceDE w:val="0"/>
              <w:autoSpaceDN w:val="0"/>
              <w:adjustRightInd w:val="0"/>
              <w:spacing w:line="320" w:lineRule="atLeast"/>
              <w:ind w:left="60" w:right="60"/>
              <w:rPr>
                <w:rFonts w:asciiTheme="majorBidi" w:hAnsiTheme="majorBidi" w:cstheme="majorBidi"/>
                <w:b/>
                <w:bCs/>
                <w:color w:val="000000" w:themeColor="text1"/>
                <w:rtl/>
                <w:lang w:bidi="fa-IR"/>
              </w:rPr>
            </w:pPr>
            <w:r w:rsidRPr="00775402">
              <w:rPr>
                <w:rFonts w:asciiTheme="majorBidi" w:hAnsiTheme="majorBidi" w:cstheme="majorBidi"/>
                <w:b/>
                <w:bCs/>
                <w:color w:val="000000" w:themeColor="text1"/>
                <w:sz w:val="24"/>
                <w:szCs w:val="24"/>
                <w:lang w:bidi="fa-IR"/>
              </w:rPr>
              <w:t>Final model</w:t>
            </w:r>
          </w:p>
        </w:tc>
        <w:tc>
          <w:tcPr>
            <w:tcW w:w="2126" w:type="dxa"/>
          </w:tcPr>
          <w:p w14:paraId="5753C159"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Age</w:t>
            </w:r>
          </w:p>
        </w:tc>
        <w:tc>
          <w:tcPr>
            <w:tcW w:w="1134" w:type="dxa"/>
          </w:tcPr>
          <w:p w14:paraId="432D559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.07346</w:t>
            </w:r>
          </w:p>
        </w:tc>
        <w:tc>
          <w:tcPr>
            <w:tcW w:w="992" w:type="dxa"/>
          </w:tcPr>
          <w:p w14:paraId="3D38542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.02667</w:t>
            </w:r>
          </w:p>
        </w:tc>
        <w:tc>
          <w:tcPr>
            <w:tcW w:w="1134" w:type="dxa"/>
          </w:tcPr>
          <w:p w14:paraId="3501F42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.00588</w:t>
            </w:r>
          </w:p>
        </w:tc>
        <w:tc>
          <w:tcPr>
            <w:tcW w:w="1134" w:type="dxa"/>
          </w:tcPr>
          <w:p w14:paraId="2701342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1.076</w:t>
            </w:r>
          </w:p>
        </w:tc>
        <w:tc>
          <w:tcPr>
            <w:tcW w:w="992" w:type="dxa"/>
          </w:tcPr>
          <w:p w14:paraId="743B3CF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1.021</w:t>
            </w:r>
          </w:p>
        </w:tc>
        <w:tc>
          <w:tcPr>
            <w:tcW w:w="1216" w:type="dxa"/>
          </w:tcPr>
          <w:p w14:paraId="1F9DFC4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1.134</w:t>
            </w:r>
          </w:p>
        </w:tc>
      </w:tr>
      <w:tr w:rsidR="00775402" w:rsidRPr="00775402" w14:paraId="1524D778" w14:textId="77777777" w:rsidTr="00B43C04">
        <w:tc>
          <w:tcPr>
            <w:tcW w:w="988" w:type="dxa"/>
            <w:vMerge/>
          </w:tcPr>
          <w:p w14:paraId="50597D25"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1422CA3D"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after.Cr</w:t>
            </w:r>
            <w:proofErr w:type="spellEnd"/>
          </w:p>
        </w:tc>
        <w:tc>
          <w:tcPr>
            <w:tcW w:w="1134" w:type="dxa"/>
          </w:tcPr>
          <w:p w14:paraId="15B538D1"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6.08838</w:t>
            </w:r>
          </w:p>
        </w:tc>
        <w:tc>
          <w:tcPr>
            <w:tcW w:w="992" w:type="dxa"/>
          </w:tcPr>
          <w:p w14:paraId="6451554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1.45961</w:t>
            </w:r>
          </w:p>
        </w:tc>
        <w:tc>
          <w:tcPr>
            <w:tcW w:w="1134" w:type="dxa"/>
          </w:tcPr>
          <w:p w14:paraId="1F42980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.00003</w:t>
            </w:r>
          </w:p>
        </w:tc>
        <w:tc>
          <w:tcPr>
            <w:tcW w:w="1134" w:type="dxa"/>
          </w:tcPr>
          <w:p w14:paraId="58D0418D"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440.70677</w:t>
            </w:r>
          </w:p>
        </w:tc>
        <w:tc>
          <w:tcPr>
            <w:tcW w:w="992" w:type="dxa"/>
          </w:tcPr>
          <w:p w14:paraId="486FB0B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25.21884</w:t>
            </w:r>
          </w:p>
        </w:tc>
        <w:tc>
          <w:tcPr>
            <w:tcW w:w="1216" w:type="dxa"/>
          </w:tcPr>
          <w:p w14:paraId="7FDB24EF"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7701.48357</w:t>
            </w:r>
          </w:p>
        </w:tc>
      </w:tr>
      <w:tr w:rsidR="00775402" w:rsidRPr="00775402" w14:paraId="6AFD8AA3" w14:textId="77777777" w:rsidTr="00B43C04">
        <w:tc>
          <w:tcPr>
            <w:tcW w:w="988" w:type="dxa"/>
            <w:vMerge/>
          </w:tcPr>
          <w:p w14:paraId="416AC6C6"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38586BE7"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time.10.months.EF</w:t>
            </w:r>
          </w:p>
        </w:tc>
        <w:tc>
          <w:tcPr>
            <w:tcW w:w="1134" w:type="dxa"/>
          </w:tcPr>
          <w:p w14:paraId="33304BD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-.16720</w:t>
            </w:r>
          </w:p>
        </w:tc>
        <w:tc>
          <w:tcPr>
            <w:tcW w:w="992" w:type="dxa"/>
          </w:tcPr>
          <w:p w14:paraId="5ED9750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.09331</w:t>
            </w:r>
          </w:p>
        </w:tc>
        <w:tc>
          <w:tcPr>
            <w:tcW w:w="1134" w:type="dxa"/>
          </w:tcPr>
          <w:p w14:paraId="576B812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.07314</w:t>
            </w:r>
          </w:p>
        </w:tc>
        <w:tc>
          <w:tcPr>
            <w:tcW w:w="1134" w:type="dxa"/>
          </w:tcPr>
          <w:p w14:paraId="5246BFC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.84603</w:t>
            </w:r>
          </w:p>
        </w:tc>
        <w:tc>
          <w:tcPr>
            <w:tcW w:w="992" w:type="dxa"/>
          </w:tcPr>
          <w:p w14:paraId="7F385D3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.70463</w:t>
            </w:r>
          </w:p>
        </w:tc>
        <w:tc>
          <w:tcPr>
            <w:tcW w:w="1216" w:type="dxa"/>
          </w:tcPr>
          <w:p w14:paraId="305C964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1.01580</w:t>
            </w:r>
          </w:p>
        </w:tc>
      </w:tr>
      <w:tr w:rsidR="00775402" w:rsidRPr="00775402" w14:paraId="305F3FB5" w14:textId="77777777" w:rsidTr="00B43C04">
        <w:tc>
          <w:tcPr>
            <w:tcW w:w="988" w:type="dxa"/>
            <w:vMerge/>
          </w:tcPr>
          <w:p w14:paraId="1BBC8A8D"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2B1BF61A"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proofErr w:type="spellStart"/>
            <w:r w:rsidRPr="00775402">
              <w:rPr>
                <w:rFonts w:asciiTheme="majorBidi" w:hAnsiTheme="majorBidi" w:cstheme="majorBidi"/>
                <w:color w:val="000000" w:themeColor="text1"/>
              </w:rPr>
              <w:t>begining.PMN</w:t>
            </w:r>
            <w:proofErr w:type="spellEnd"/>
          </w:p>
        </w:tc>
        <w:tc>
          <w:tcPr>
            <w:tcW w:w="1134" w:type="dxa"/>
          </w:tcPr>
          <w:p w14:paraId="6ABD03B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.00100</w:t>
            </w:r>
          </w:p>
        </w:tc>
        <w:tc>
          <w:tcPr>
            <w:tcW w:w="992" w:type="dxa"/>
          </w:tcPr>
          <w:p w14:paraId="7045174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.00049</w:t>
            </w:r>
          </w:p>
        </w:tc>
        <w:tc>
          <w:tcPr>
            <w:tcW w:w="1134" w:type="dxa"/>
          </w:tcPr>
          <w:p w14:paraId="259B637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.04140</w:t>
            </w:r>
          </w:p>
        </w:tc>
        <w:tc>
          <w:tcPr>
            <w:tcW w:w="1134" w:type="dxa"/>
          </w:tcPr>
          <w:p w14:paraId="554400E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1.00100</w:t>
            </w:r>
          </w:p>
        </w:tc>
        <w:tc>
          <w:tcPr>
            <w:tcW w:w="992" w:type="dxa"/>
          </w:tcPr>
          <w:p w14:paraId="2CE2B57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1.00004</w:t>
            </w:r>
          </w:p>
        </w:tc>
        <w:tc>
          <w:tcPr>
            <w:tcW w:w="1216" w:type="dxa"/>
          </w:tcPr>
          <w:p w14:paraId="10588E7E"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1.00197</w:t>
            </w:r>
          </w:p>
        </w:tc>
      </w:tr>
      <w:tr w:rsidR="00775402" w:rsidRPr="00775402" w14:paraId="55DA7D25" w14:textId="77777777" w:rsidTr="00B43C04">
        <w:tc>
          <w:tcPr>
            <w:tcW w:w="988" w:type="dxa"/>
            <w:vMerge/>
          </w:tcPr>
          <w:p w14:paraId="511BC49D"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3152AE47"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Final TIMI</w:t>
            </w:r>
          </w:p>
        </w:tc>
        <w:tc>
          <w:tcPr>
            <w:tcW w:w="1134" w:type="dxa"/>
          </w:tcPr>
          <w:p w14:paraId="4BF49B3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-1.73525</w:t>
            </w:r>
          </w:p>
        </w:tc>
        <w:tc>
          <w:tcPr>
            <w:tcW w:w="992" w:type="dxa"/>
          </w:tcPr>
          <w:p w14:paraId="01F309B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.49492</w:t>
            </w:r>
          </w:p>
        </w:tc>
        <w:tc>
          <w:tcPr>
            <w:tcW w:w="1134" w:type="dxa"/>
          </w:tcPr>
          <w:p w14:paraId="63C758B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.00045</w:t>
            </w:r>
          </w:p>
        </w:tc>
        <w:tc>
          <w:tcPr>
            <w:tcW w:w="1134" w:type="dxa"/>
          </w:tcPr>
          <w:p w14:paraId="71A32BA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.17636</w:t>
            </w:r>
          </w:p>
        </w:tc>
        <w:tc>
          <w:tcPr>
            <w:tcW w:w="992" w:type="dxa"/>
          </w:tcPr>
          <w:p w14:paraId="1BCEF8A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.06685</w:t>
            </w:r>
          </w:p>
        </w:tc>
        <w:tc>
          <w:tcPr>
            <w:tcW w:w="1216" w:type="dxa"/>
          </w:tcPr>
          <w:p w14:paraId="6E267EC7"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.46523</w:t>
            </w:r>
          </w:p>
        </w:tc>
      </w:tr>
      <w:tr w:rsidR="00775402" w:rsidRPr="00775402" w14:paraId="2BBEC4F6" w14:textId="77777777" w:rsidTr="00B43C04">
        <w:tc>
          <w:tcPr>
            <w:tcW w:w="988" w:type="dxa"/>
            <w:vMerge/>
          </w:tcPr>
          <w:p w14:paraId="39FFE12A"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286DD13D"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B050"/>
              </w:rPr>
            </w:pPr>
            <w:proofErr w:type="spellStart"/>
            <w:r w:rsidRPr="00775402">
              <w:rPr>
                <w:rFonts w:asciiTheme="majorBidi" w:hAnsiTheme="majorBidi" w:cstheme="majorBidi"/>
                <w:color w:val="00B050"/>
              </w:rPr>
              <w:t>after.PLT</w:t>
            </w:r>
            <w:proofErr w:type="spellEnd"/>
          </w:p>
        </w:tc>
        <w:tc>
          <w:tcPr>
            <w:tcW w:w="1134" w:type="dxa"/>
          </w:tcPr>
          <w:p w14:paraId="1800E7DB"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-.00001</w:t>
            </w:r>
          </w:p>
        </w:tc>
        <w:tc>
          <w:tcPr>
            <w:tcW w:w="992" w:type="dxa"/>
          </w:tcPr>
          <w:p w14:paraId="75CB761A"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.00001</w:t>
            </w:r>
          </w:p>
        </w:tc>
        <w:tc>
          <w:tcPr>
            <w:tcW w:w="1134" w:type="dxa"/>
          </w:tcPr>
          <w:p w14:paraId="197EB078"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.04442</w:t>
            </w:r>
          </w:p>
        </w:tc>
        <w:tc>
          <w:tcPr>
            <w:tcW w:w="1134" w:type="dxa"/>
          </w:tcPr>
          <w:p w14:paraId="2C44AA29"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.99999</w:t>
            </w:r>
          </w:p>
        </w:tc>
        <w:tc>
          <w:tcPr>
            <w:tcW w:w="992" w:type="dxa"/>
          </w:tcPr>
          <w:p w14:paraId="6140B412"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.99998</w:t>
            </w:r>
          </w:p>
        </w:tc>
        <w:tc>
          <w:tcPr>
            <w:tcW w:w="1216" w:type="dxa"/>
          </w:tcPr>
          <w:p w14:paraId="0A48F3D4"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B050"/>
                <w:sz w:val="18"/>
                <w:szCs w:val="18"/>
              </w:rPr>
            </w:pPr>
            <w:r w:rsidRPr="00775402">
              <w:rPr>
                <w:rFonts w:asciiTheme="majorBidi" w:hAnsiTheme="majorBidi" w:cstheme="majorBidi"/>
                <w:color w:val="00B050"/>
                <w:sz w:val="18"/>
                <w:szCs w:val="18"/>
              </w:rPr>
              <w:t>.999999</w:t>
            </w:r>
          </w:p>
        </w:tc>
      </w:tr>
      <w:tr w:rsidR="00775402" w:rsidRPr="00775402" w14:paraId="6FD8441B" w14:textId="77777777" w:rsidTr="00B43C04">
        <w:tc>
          <w:tcPr>
            <w:tcW w:w="988" w:type="dxa"/>
            <w:vMerge/>
          </w:tcPr>
          <w:p w14:paraId="5096ED01" w14:textId="77777777" w:rsidR="00775402" w:rsidRPr="00775402" w:rsidRDefault="00775402" w:rsidP="00B43C04">
            <w:pPr>
              <w:autoSpaceDE w:val="0"/>
              <w:autoSpaceDN w:val="0"/>
              <w:adjustRightInd w:val="0"/>
              <w:rPr>
                <w:rFonts w:asciiTheme="majorBidi" w:hAnsiTheme="majorBidi" w:cstheme="majorBidi"/>
                <w:color w:val="000000" w:themeColor="text1"/>
              </w:rPr>
            </w:pPr>
          </w:p>
        </w:tc>
        <w:tc>
          <w:tcPr>
            <w:tcW w:w="2126" w:type="dxa"/>
          </w:tcPr>
          <w:p w14:paraId="490F1ED2" w14:textId="77777777" w:rsidR="00775402" w:rsidRPr="00775402" w:rsidRDefault="00775402" w:rsidP="00775402">
            <w:pPr>
              <w:autoSpaceDE w:val="0"/>
              <w:autoSpaceDN w:val="0"/>
              <w:bidi w:val="0"/>
              <w:adjustRightInd w:val="0"/>
              <w:spacing w:line="320" w:lineRule="atLeast"/>
              <w:ind w:left="60" w:right="60"/>
              <w:rPr>
                <w:rFonts w:asciiTheme="majorBidi" w:hAnsiTheme="majorBidi" w:cstheme="majorBidi"/>
                <w:color w:val="000000" w:themeColor="text1"/>
              </w:rPr>
            </w:pPr>
            <w:r w:rsidRPr="00775402">
              <w:rPr>
                <w:rFonts w:asciiTheme="majorBidi" w:hAnsiTheme="majorBidi" w:cstheme="majorBidi"/>
                <w:color w:val="000000" w:themeColor="text1"/>
              </w:rPr>
              <w:t>Constant</w:t>
            </w:r>
          </w:p>
        </w:tc>
        <w:tc>
          <w:tcPr>
            <w:tcW w:w="1134" w:type="dxa"/>
          </w:tcPr>
          <w:p w14:paraId="641E47DC"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-9.27619</w:t>
            </w:r>
          </w:p>
        </w:tc>
        <w:tc>
          <w:tcPr>
            <w:tcW w:w="992" w:type="dxa"/>
          </w:tcPr>
          <w:p w14:paraId="78B7C080"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6.45797</w:t>
            </w:r>
          </w:p>
        </w:tc>
        <w:tc>
          <w:tcPr>
            <w:tcW w:w="1134" w:type="dxa"/>
          </w:tcPr>
          <w:p w14:paraId="3C60D8D3"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.15089</w:t>
            </w:r>
          </w:p>
        </w:tc>
        <w:tc>
          <w:tcPr>
            <w:tcW w:w="1134" w:type="dxa"/>
          </w:tcPr>
          <w:p w14:paraId="6A6AE6E6" w14:textId="77777777" w:rsidR="00775402" w:rsidRPr="00775402" w:rsidRDefault="00775402" w:rsidP="00775402">
            <w:pPr>
              <w:autoSpaceDE w:val="0"/>
              <w:autoSpaceDN w:val="0"/>
              <w:bidi w:val="0"/>
              <w:adjustRightInd w:val="0"/>
              <w:spacing w:line="320" w:lineRule="atLeast"/>
              <w:ind w:left="60" w:right="60"/>
              <w:jc w:val="right"/>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.00009</w:t>
            </w:r>
          </w:p>
        </w:tc>
        <w:tc>
          <w:tcPr>
            <w:tcW w:w="992" w:type="dxa"/>
          </w:tcPr>
          <w:p w14:paraId="2228F400" w14:textId="77777777" w:rsidR="00775402" w:rsidRPr="00775402" w:rsidRDefault="00775402" w:rsidP="00775402">
            <w:pPr>
              <w:autoSpaceDE w:val="0"/>
              <w:autoSpaceDN w:val="0"/>
              <w:bidi w:val="0"/>
              <w:adjustRightInd w:val="0"/>
              <w:rPr>
                <w:rFonts w:asciiTheme="majorBidi" w:hAnsiTheme="majorBidi" w:cstheme="majorBidi"/>
                <w:color w:val="000000" w:themeColor="text1"/>
                <w:sz w:val="24"/>
                <w:szCs w:val="24"/>
              </w:rPr>
            </w:pPr>
          </w:p>
        </w:tc>
        <w:tc>
          <w:tcPr>
            <w:tcW w:w="1216" w:type="dxa"/>
          </w:tcPr>
          <w:p w14:paraId="182573CD" w14:textId="77777777" w:rsidR="00775402" w:rsidRPr="00775402" w:rsidRDefault="00775402" w:rsidP="00775402">
            <w:pPr>
              <w:autoSpaceDE w:val="0"/>
              <w:autoSpaceDN w:val="0"/>
              <w:bidi w:val="0"/>
              <w:adjustRightInd w:val="0"/>
              <w:rPr>
                <w:rFonts w:asciiTheme="majorBidi" w:hAnsiTheme="majorBidi" w:cstheme="majorBidi"/>
                <w:color w:val="000000" w:themeColor="text1"/>
                <w:sz w:val="24"/>
                <w:szCs w:val="24"/>
              </w:rPr>
            </w:pPr>
          </w:p>
        </w:tc>
      </w:tr>
      <w:tr w:rsidR="00775402" w:rsidRPr="00775402" w14:paraId="2B7BADB5" w14:textId="77777777" w:rsidTr="00B43C04">
        <w:tc>
          <w:tcPr>
            <w:tcW w:w="9716" w:type="dxa"/>
            <w:gridSpan w:val="8"/>
          </w:tcPr>
          <w:p w14:paraId="56B9A855" w14:textId="77777777" w:rsidR="00775402" w:rsidRPr="00775402" w:rsidRDefault="00775402" w:rsidP="00775402">
            <w:pPr>
              <w:pStyle w:val="ListParagraph"/>
              <w:numPr>
                <w:ilvl w:val="0"/>
                <w:numId w:val="2"/>
              </w:numPr>
              <w:autoSpaceDE w:val="0"/>
              <w:autoSpaceDN w:val="0"/>
              <w:adjustRightInd w:val="0"/>
              <w:spacing w:line="320" w:lineRule="atLeast"/>
              <w:ind w:right="60"/>
              <w:rPr>
                <w:rFonts w:asciiTheme="majorBidi" w:hAnsiTheme="majorBidi" w:cstheme="majorBidi"/>
                <w:color w:val="000000" w:themeColor="text1"/>
                <w:sz w:val="18"/>
                <w:szCs w:val="18"/>
              </w:rPr>
            </w:pPr>
            <w:r w:rsidRPr="00775402">
              <w:rPr>
                <w:rFonts w:asciiTheme="majorBidi" w:hAnsiTheme="majorBidi" w:cstheme="majorBidi"/>
                <w:color w:val="000000" w:themeColor="text1"/>
                <w:sz w:val="18"/>
                <w:szCs w:val="18"/>
              </w:rPr>
              <w:t>Variable(s) entered on step 1: Sex, Age, Hypertension, Diabetes mellitus</w:t>
            </w:r>
            <w:r w:rsidRPr="00775402">
              <w:rPr>
                <w:rFonts w:asciiTheme="majorBidi" w:hAnsiTheme="majorBidi" w:cstheme="majorBidi"/>
                <w:b/>
                <w:bCs/>
                <w:color w:val="000000" w:themeColor="text1"/>
                <w:sz w:val="18"/>
                <w:szCs w:val="18"/>
              </w:rPr>
              <w:t xml:space="preserve">, </w:t>
            </w:r>
            <w:proofErr w:type="spellStart"/>
            <w:r w:rsidRPr="00775402">
              <w:rPr>
                <w:rFonts w:asciiTheme="majorBidi" w:hAnsiTheme="majorBidi" w:cstheme="majorBidi"/>
                <w:color w:val="000000" w:themeColor="text1"/>
                <w:sz w:val="18"/>
                <w:szCs w:val="18"/>
              </w:rPr>
              <w:t>begining.Cr</w:t>
            </w:r>
            <w:proofErr w:type="spellEnd"/>
            <w:r w:rsidRPr="00775402">
              <w:rPr>
                <w:rFonts w:asciiTheme="majorBidi" w:hAnsiTheme="majorBidi" w:cstheme="majorBidi"/>
                <w:color w:val="000000" w:themeColor="text1"/>
                <w:sz w:val="18"/>
                <w:szCs w:val="18"/>
              </w:rPr>
              <w:t xml:space="preserve">, </w:t>
            </w:r>
            <w:proofErr w:type="spellStart"/>
            <w:r w:rsidRPr="00775402">
              <w:rPr>
                <w:rFonts w:asciiTheme="majorBidi" w:hAnsiTheme="majorBidi" w:cstheme="majorBidi"/>
                <w:color w:val="000000" w:themeColor="text1"/>
                <w:sz w:val="18"/>
                <w:szCs w:val="18"/>
              </w:rPr>
              <w:t>begining.WBC</w:t>
            </w:r>
            <w:proofErr w:type="spellEnd"/>
            <w:r w:rsidRPr="00775402">
              <w:rPr>
                <w:rFonts w:asciiTheme="majorBidi" w:hAnsiTheme="majorBidi" w:cstheme="majorBidi"/>
                <w:color w:val="000000" w:themeColor="text1"/>
                <w:sz w:val="18"/>
                <w:szCs w:val="18"/>
              </w:rPr>
              <w:t xml:space="preserve">, </w:t>
            </w:r>
            <w:proofErr w:type="spellStart"/>
            <w:r w:rsidRPr="00775402">
              <w:rPr>
                <w:rFonts w:asciiTheme="majorBidi" w:hAnsiTheme="majorBidi" w:cstheme="majorBidi"/>
                <w:color w:val="000000" w:themeColor="text1"/>
                <w:sz w:val="18"/>
                <w:szCs w:val="18"/>
              </w:rPr>
              <w:t>after.WBC</w:t>
            </w:r>
            <w:proofErr w:type="spellEnd"/>
            <w:r w:rsidRPr="00775402">
              <w:rPr>
                <w:rFonts w:asciiTheme="majorBidi" w:hAnsiTheme="majorBidi" w:cstheme="majorBidi"/>
                <w:color w:val="000000" w:themeColor="text1"/>
                <w:sz w:val="18"/>
                <w:szCs w:val="18"/>
              </w:rPr>
              <w:t xml:space="preserve">, </w:t>
            </w:r>
            <w:proofErr w:type="spellStart"/>
            <w:r w:rsidRPr="00775402">
              <w:rPr>
                <w:rFonts w:asciiTheme="majorBidi" w:hAnsiTheme="majorBidi" w:cstheme="majorBidi"/>
                <w:color w:val="000000" w:themeColor="text1"/>
                <w:sz w:val="18"/>
                <w:szCs w:val="18"/>
              </w:rPr>
              <w:t>after.Cr</w:t>
            </w:r>
            <w:proofErr w:type="spellEnd"/>
            <w:r w:rsidRPr="00775402">
              <w:rPr>
                <w:rFonts w:asciiTheme="majorBidi" w:hAnsiTheme="majorBidi" w:cstheme="majorBidi"/>
                <w:color w:val="000000" w:themeColor="text1"/>
                <w:sz w:val="18"/>
                <w:szCs w:val="18"/>
              </w:rPr>
              <w:t xml:space="preserve">, time.8_12.hours.EF, time.10.months.EF, </w:t>
            </w:r>
            <w:proofErr w:type="spellStart"/>
            <w:r w:rsidRPr="00775402">
              <w:rPr>
                <w:rFonts w:asciiTheme="majorBidi" w:hAnsiTheme="majorBidi" w:cstheme="majorBidi"/>
                <w:color w:val="000000" w:themeColor="text1"/>
                <w:sz w:val="18"/>
                <w:szCs w:val="18"/>
              </w:rPr>
              <w:t>begining.PMN</w:t>
            </w:r>
            <w:proofErr w:type="spellEnd"/>
            <w:r w:rsidRPr="00775402">
              <w:rPr>
                <w:rFonts w:asciiTheme="majorBidi" w:hAnsiTheme="majorBidi" w:cstheme="majorBidi"/>
                <w:color w:val="000000" w:themeColor="text1"/>
                <w:sz w:val="18"/>
                <w:szCs w:val="18"/>
              </w:rPr>
              <w:t xml:space="preserve">, Final TIMI, </w:t>
            </w:r>
            <w:proofErr w:type="spellStart"/>
            <w:r w:rsidRPr="00775402">
              <w:rPr>
                <w:rFonts w:asciiTheme="majorBidi" w:hAnsiTheme="majorBidi" w:cstheme="majorBidi"/>
                <w:color w:val="000000" w:themeColor="text1"/>
                <w:sz w:val="18"/>
                <w:szCs w:val="18"/>
              </w:rPr>
              <w:t>after.PLT</w:t>
            </w:r>
            <w:proofErr w:type="spellEnd"/>
            <w:r w:rsidRPr="00775402">
              <w:rPr>
                <w:rFonts w:asciiTheme="majorBidi" w:hAnsiTheme="majorBidi" w:cstheme="majorBidi"/>
                <w:color w:val="000000" w:themeColor="text1"/>
                <w:sz w:val="18"/>
                <w:szCs w:val="18"/>
              </w:rPr>
              <w:t>.</w:t>
            </w:r>
          </w:p>
        </w:tc>
      </w:tr>
    </w:tbl>
    <w:p w14:paraId="0BA862EE" w14:textId="77777777" w:rsidR="00775402" w:rsidRPr="00775402" w:rsidRDefault="00775402" w:rsidP="00775402">
      <w:pPr>
        <w:bidi w:val="0"/>
        <w:spacing w:line="480" w:lineRule="auto"/>
        <w:jc w:val="lowKashida"/>
        <w:rPr>
          <w:rFonts w:asciiTheme="majorBidi" w:hAnsiTheme="majorBidi" w:cstheme="majorBidi"/>
          <w:color w:val="000000" w:themeColor="text1"/>
          <w:sz w:val="24"/>
          <w:szCs w:val="24"/>
          <w:lang w:bidi="ar-SA"/>
        </w:rPr>
      </w:pPr>
    </w:p>
    <w:p w14:paraId="3FE90B30" w14:textId="607BE260" w:rsidR="00FC6240" w:rsidRPr="00775402" w:rsidRDefault="00FC6240" w:rsidP="00775402">
      <w:pPr>
        <w:bidi w:val="0"/>
        <w:spacing w:line="480" w:lineRule="auto"/>
        <w:jc w:val="lowKashida"/>
        <w:rPr>
          <w:rFonts w:asciiTheme="majorBidi" w:hAnsiTheme="majorBidi" w:cstheme="majorBidi"/>
          <w:color w:val="000000" w:themeColor="text1"/>
          <w:sz w:val="24"/>
          <w:szCs w:val="24"/>
          <w:lang w:bidi="ar-SA"/>
        </w:rPr>
      </w:pPr>
      <w:r w:rsidRPr="00775402">
        <w:rPr>
          <w:rFonts w:asciiTheme="majorBidi" w:hAnsiTheme="majorBidi" w:cstheme="majorBidi"/>
          <w:color w:val="000000" w:themeColor="text1"/>
          <w:sz w:val="24"/>
          <w:szCs w:val="24"/>
          <w:lang w:bidi="ar-SA"/>
        </w:rPr>
        <w:t xml:space="preserve">Based on the data in </w:t>
      </w:r>
      <w:r w:rsidR="00AB09AF" w:rsidRPr="00775402">
        <w:rPr>
          <w:rFonts w:asciiTheme="majorBidi" w:hAnsiTheme="majorBidi" w:cstheme="majorBidi"/>
          <w:color w:val="000000" w:themeColor="text1"/>
          <w:sz w:val="24"/>
          <w:szCs w:val="24"/>
          <w:lang w:bidi="ar-SA"/>
        </w:rPr>
        <w:t>Table 4</w:t>
      </w:r>
      <w:r w:rsidRPr="00775402">
        <w:rPr>
          <w:rFonts w:asciiTheme="majorBidi" w:hAnsiTheme="majorBidi" w:cstheme="majorBidi"/>
          <w:color w:val="000000" w:themeColor="text1"/>
          <w:sz w:val="24"/>
          <w:szCs w:val="24"/>
          <w:lang w:bidi="ar-SA"/>
        </w:rPr>
        <w:t xml:space="preserve">, in multivariate analysis, after adjusting for the effects of individual variables, underlying diseases and LVA-related blood factors, </w:t>
      </w:r>
      <w:bookmarkStart w:id="4" w:name="_Hlk35344740"/>
      <w:bookmarkStart w:id="5" w:name="_Hlk35345059"/>
      <w:r w:rsidRPr="00775402">
        <w:rPr>
          <w:rFonts w:asciiTheme="majorBidi" w:hAnsiTheme="majorBidi" w:cstheme="majorBidi"/>
          <w:color w:val="00B050"/>
          <w:sz w:val="24"/>
          <w:szCs w:val="24"/>
          <w:lang w:bidi="ar-SA"/>
        </w:rPr>
        <w:t xml:space="preserve">the </w:t>
      </w:r>
      <w:bookmarkStart w:id="6" w:name="_Hlk35344607"/>
      <w:r w:rsidRPr="00775402">
        <w:rPr>
          <w:rFonts w:asciiTheme="majorBidi" w:hAnsiTheme="majorBidi" w:cstheme="majorBidi"/>
          <w:color w:val="00B050"/>
          <w:sz w:val="24"/>
          <w:szCs w:val="24"/>
          <w:lang w:bidi="ar-SA"/>
        </w:rPr>
        <w:t>correlation between platelet count after P-PCI and LVA formation was observed</w:t>
      </w:r>
      <w:bookmarkEnd w:id="4"/>
      <w:bookmarkEnd w:id="6"/>
      <w:r w:rsidRPr="00775402">
        <w:rPr>
          <w:rFonts w:asciiTheme="majorBidi" w:hAnsiTheme="majorBidi" w:cstheme="majorBidi"/>
          <w:color w:val="00B050"/>
          <w:sz w:val="24"/>
          <w:szCs w:val="24"/>
          <w:lang w:bidi="ar-SA"/>
        </w:rPr>
        <w:t xml:space="preserve"> </w:t>
      </w:r>
      <w:bookmarkStart w:id="7" w:name="_Hlk35344876"/>
      <w:r w:rsidRPr="00775402">
        <w:rPr>
          <w:rFonts w:asciiTheme="majorBidi" w:hAnsiTheme="majorBidi" w:cstheme="majorBidi"/>
          <w:color w:val="00B050"/>
          <w:sz w:val="24"/>
          <w:szCs w:val="24"/>
          <w:lang w:bidi="ar-SA"/>
        </w:rPr>
        <w:t>to be statistically significant</w:t>
      </w:r>
      <w:bookmarkEnd w:id="5"/>
      <w:bookmarkEnd w:id="7"/>
      <w:r w:rsidRPr="00775402">
        <w:rPr>
          <w:rFonts w:asciiTheme="majorBidi" w:hAnsiTheme="majorBidi" w:cstheme="majorBidi"/>
          <w:color w:val="00B050"/>
          <w:sz w:val="24"/>
          <w:szCs w:val="24"/>
          <w:lang w:bidi="ar-SA"/>
        </w:rPr>
        <w:t xml:space="preserve"> (P=0.044). Accordingly, every one-unit increase in platelet count decreased the risk of LVA formation (OR=0.999) (CI OR=0.0-99998.99999).</w:t>
      </w:r>
      <w:r w:rsidRPr="00775402">
        <w:rPr>
          <w:rFonts w:asciiTheme="majorBidi" w:hAnsiTheme="majorBidi" w:cstheme="majorBidi"/>
          <w:color w:val="000000" w:themeColor="text1"/>
          <w:sz w:val="24"/>
          <w:szCs w:val="24"/>
          <w:lang w:bidi="ar-SA"/>
        </w:rPr>
        <w:t xml:space="preserve"> Based on multivariate analysis, in addition to platelet count, the variables of age (OR=1.07), PMN before P-PCI (OR=1.001), and Cr after P-PCI (OR=440.7) had a significant additive effect on the </w:t>
      </w:r>
      <w:r w:rsidRPr="00775402">
        <w:rPr>
          <w:rFonts w:asciiTheme="majorBidi" w:hAnsiTheme="majorBidi" w:cstheme="majorBidi"/>
          <w:color w:val="000000" w:themeColor="text1"/>
          <w:sz w:val="24"/>
          <w:szCs w:val="24"/>
          <w:lang w:bidi="ar-SA"/>
        </w:rPr>
        <w:lastRenderedPageBreak/>
        <w:t>probability of LVA formation. However, EF (OR=0.846) and final TIMI (OR=0.176), similar to platelet count, had a reducing effect on the risk of LVA formation.</w:t>
      </w:r>
    </w:p>
    <w:p w14:paraId="6A5F05EE" w14:textId="77777777" w:rsidR="002B17F6" w:rsidRDefault="002B17F6" w:rsidP="005A72B5">
      <w:pPr>
        <w:bidi w:val="0"/>
        <w:spacing w:after="0" w:line="480" w:lineRule="auto"/>
        <w:jc w:val="lowKashida"/>
        <w:rPr>
          <w:rFonts w:asciiTheme="majorBidi" w:hAnsiTheme="majorBidi" w:cstheme="majorBidi"/>
          <w:b/>
          <w:bCs/>
          <w:sz w:val="24"/>
          <w:szCs w:val="24"/>
          <w:lang w:bidi="ar-SA"/>
        </w:rPr>
      </w:pPr>
    </w:p>
    <w:p w14:paraId="5A735EF7" w14:textId="77777777" w:rsidR="00C5215D" w:rsidRPr="005A72B5" w:rsidRDefault="00C5215D" w:rsidP="002B17F6">
      <w:pPr>
        <w:bidi w:val="0"/>
        <w:spacing w:after="0"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DISCUSSION</w:t>
      </w:r>
    </w:p>
    <w:p w14:paraId="170F0BF7" w14:textId="15EE3387" w:rsidR="00CD32D8" w:rsidRPr="006E1EC0" w:rsidRDefault="00FC6240" w:rsidP="006E1EC0">
      <w:pPr>
        <w:bidi w:val="0"/>
        <w:spacing w:after="0" w:line="480" w:lineRule="auto"/>
        <w:jc w:val="lowKashida"/>
        <w:rPr>
          <w:rFonts w:asciiTheme="majorBidi" w:hAnsiTheme="majorBidi" w:cstheme="majorBidi"/>
          <w:color w:val="000000" w:themeColor="text1"/>
          <w:sz w:val="24"/>
          <w:szCs w:val="24"/>
          <w:lang w:bidi="ar-SA"/>
        </w:rPr>
      </w:pPr>
      <w:r w:rsidRPr="005A72B5">
        <w:rPr>
          <w:rFonts w:asciiTheme="majorBidi" w:hAnsiTheme="majorBidi" w:cstheme="majorBidi"/>
          <w:sz w:val="24"/>
          <w:szCs w:val="24"/>
          <w:lang w:bidi="ar-SA"/>
        </w:rPr>
        <w:t>Most cases of LVA occur at ventricular apex and only a few cases occur near the lower part of the posterior wall. LVA formation may spatially damage the ventricle and result in decreased systolic and diastolic ability,</w:t>
      </w:r>
      <w:r w:rsidR="00090901" w:rsidRPr="005A72B5">
        <w:rPr>
          <w:rFonts w:asciiTheme="majorBidi" w:hAnsiTheme="majorBidi" w:cstheme="majorBidi"/>
          <w:sz w:val="24"/>
          <w:szCs w:val="24"/>
          <w:vertAlign w:val="superscript"/>
          <w:lang w:bidi="ar-SA"/>
        </w:rPr>
        <w:t>8</w:t>
      </w:r>
      <w:r w:rsidRPr="005A72B5">
        <w:rPr>
          <w:rFonts w:asciiTheme="majorBidi" w:hAnsiTheme="majorBidi" w:cstheme="majorBidi"/>
          <w:sz w:val="24"/>
          <w:szCs w:val="24"/>
          <w:lang w:bidi="ar-SA"/>
        </w:rPr>
        <w:t xml:space="preserve"> thereby resulting in worse prognosis following MI, including angina pectoris,</w:t>
      </w:r>
      <w:r w:rsidR="00294739" w:rsidRPr="005A72B5">
        <w:rPr>
          <w:rFonts w:asciiTheme="majorBidi" w:hAnsiTheme="majorBidi" w:cstheme="majorBidi"/>
          <w:sz w:val="24"/>
          <w:szCs w:val="24"/>
          <w:vertAlign w:val="superscript"/>
          <w:lang w:bidi="ar-SA"/>
        </w:rPr>
        <w:t>9</w:t>
      </w:r>
      <w:r w:rsidRPr="005A72B5">
        <w:rPr>
          <w:rFonts w:asciiTheme="majorBidi" w:hAnsiTheme="majorBidi" w:cstheme="majorBidi"/>
          <w:sz w:val="24"/>
          <w:szCs w:val="24"/>
          <w:lang w:bidi="ar-SA"/>
        </w:rPr>
        <w:t xml:space="preserve"> malignant arrhythmia,</w:t>
      </w:r>
      <w:r w:rsidR="00094C12" w:rsidRPr="005A72B5">
        <w:rPr>
          <w:rFonts w:asciiTheme="majorBidi" w:hAnsiTheme="majorBidi" w:cstheme="majorBidi"/>
          <w:sz w:val="24"/>
          <w:szCs w:val="24"/>
          <w:vertAlign w:val="superscript"/>
          <w:lang w:bidi="ar-SA"/>
        </w:rPr>
        <w:t>10</w:t>
      </w:r>
      <w:r w:rsidR="004920D8" w:rsidRPr="005A72B5">
        <w:rPr>
          <w:rFonts w:asciiTheme="majorBidi" w:hAnsiTheme="majorBidi" w:cstheme="majorBidi"/>
          <w:sz w:val="24"/>
          <w:szCs w:val="24"/>
          <w:lang w:bidi="ar-SA"/>
        </w:rPr>
        <w:t xml:space="preserve"> embolism</w:t>
      </w:r>
      <w:r w:rsidR="004920D8" w:rsidRPr="005A72B5">
        <w:rPr>
          <w:rFonts w:asciiTheme="majorBidi" w:hAnsiTheme="majorBidi" w:cstheme="majorBidi"/>
          <w:sz w:val="24"/>
          <w:szCs w:val="24"/>
          <w:vertAlign w:val="superscript"/>
          <w:lang w:bidi="ar-SA"/>
        </w:rPr>
        <w:t>11</w:t>
      </w:r>
      <w:r w:rsidRPr="005A72B5">
        <w:rPr>
          <w:rFonts w:asciiTheme="majorBidi" w:hAnsiTheme="majorBidi" w:cstheme="majorBidi"/>
          <w:sz w:val="24"/>
          <w:szCs w:val="24"/>
          <w:lang w:bidi="ar-SA"/>
        </w:rPr>
        <w:t xml:space="preserve"> and even death</w:t>
      </w:r>
      <w:r w:rsidR="004920D8" w:rsidRPr="005A72B5">
        <w:rPr>
          <w:rFonts w:asciiTheme="majorBidi" w:hAnsiTheme="majorBidi" w:cstheme="majorBidi"/>
          <w:sz w:val="24"/>
          <w:szCs w:val="24"/>
          <w:lang w:bidi="ar-SA"/>
        </w:rPr>
        <w:t>.</w:t>
      </w:r>
      <w:r w:rsidR="004920D8" w:rsidRPr="005A72B5">
        <w:rPr>
          <w:rFonts w:asciiTheme="majorBidi" w:hAnsiTheme="majorBidi" w:cstheme="majorBidi"/>
          <w:sz w:val="24"/>
          <w:szCs w:val="24"/>
          <w:vertAlign w:val="superscript"/>
          <w:lang w:bidi="ar-SA"/>
        </w:rPr>
        <w:t>12</w:t>
      </w:r>
      <w:r w:rsidRPr="005A72B5">
        <w:rPr>
          <w:rFonts w:asciiTheme="majorBidi" w:hAnsiTheme="majorBidi" w:cstheme="majorBidi"/>
          <w:sz w:val="24"/>
          <w:szCs w:val="24"/>
          <w:lang w:bidi="ar-SA"/>
        </w:rPr>
        <w:t xml:space="preserve">  Necrotic myocardium is gradually replaced by fibrous tissue, causing the ventricular wall to become thinner</w:t>
      </w:r>
      <w:r w:rsidR="00C81918" w:rsidRPr="005A72B5">
        <w:rPr>
          <w:rFonts w:asciiTheme="majorBidi" w:hAnsiTheme="majorBidi" w:cstheme="majorBidi"/>
          <w:sz w:val="24"/>
          <w:szCs w:val="24"/>
          <w:lang w:bidi="ar-SA"/>
        </w:rPr>
        <w:t>.</w:t>
      </w:r>
      <w:r w:rsidR="00C81918" w:rsidRPr="005A72B5">
        <w:rPr>
          <w:rFonts w:asciiTheme="majorBidi" w:hAnsiTheme="majorBidi" w:cstheme="majorBidi"/>
          <w:sz w:val="24"/>
          <w:szCs w:val="24"/>
          <w:vertAlign w:val="superscript"/>
          <w:lang w:bidi="ar-SA"/>
        </w:rPr>
        <w:t>9</w:t>
      </w:r>
      <w:r w:rsidRPr="005A72B5">
        <w:rPr>
          <w:rFonts w:asciiTheme="majorBidi" w:hAnsiTheme="majorBidi" w:cstheme="majorBidi"/>
          <w:sz w:val="24"/>
          <w:szCs w:val="24"/>
          <w:lang w:bidi="ar-SA"/>
        </w:rPr>
        <w:t xml:space="preserve"> LVA progressively destroys the remaining active myocardial function. Therefore, it is necessary to diagnose LVA early and treat it appropriately after MI. Diagnostic methods for LVA are currently expanding rapidly. Electrocardiography, echocardiography, ventricular angiography, MRI, radionuclide </w:t>
      </w:r>
      <w:proofErr w:type="spellStart"/>
      <w:r w:rsidRPr="005A72B5">
        <w:rPr>
          <w:rFonts w:asciiTheme="majorBidi" w:hAnsiTheme="majorBidi" w:cstheme="majorBidi"/>
          <w:sz w:val="24"/>
          <w:szCs w:val="24"/>
          <w:lang w:bidi="ar-SA"/>
        </w:rPr>
        <w:t>ventriculography</w:t>
      </w:r>
      <w:proofErr w:type="spellEnd"/>
      <w:r w:rsidRPr="005A72B5">
        <w:rPr>
          <w:rFonts w:asciiTheme="majorBidi" w:hAnsiTheme="majorBidi" w:cstheme="majorBidi"/>
          <w:sz w:val="24"/>
          <w:szCs w:val="24"/>
          <w:lang w:bidi="ar-SA"/>
        </w:rPr>
        <w:t xml:space="preserve"> and myocardial perfusion imaging can be used to diagnose ventricular aneurysms. Clinical risk factors for LVA formation include anterior MI, underdeveloped collaterals, and smoking</w:t>
      </w:r>
      <w:r w:rsidR="0085548D" w:rsidRPr="005A72B5">
        <w:rPr>
          <w:rFonts w:asciiTheme="majorBidi" w:hAnsiTheme="majorBidi" w:cstheme="majorBidi"/>
          <w:sz w:val="24"/>
          <w:szCs w:val="24"/>
          <w:lang w:bidi="ar-SA"/>
        </w:rPr>
        <w:t>.</w:t>
      </w:r>
      <w:r w:rsidR="0085548D" w:rsidRPr="005A72B5">
        <w:rPr>
          <w:rFonts w:asciiTheme="majorBidi" w:hAnsiTheme="majorBidi" w:cstheme="majorBidi"/>
          <w:sz w:val="24"/>
          <w:szCs w:val="24"/>
          <w:vertAlign w:val="superscript"/>
          <w:lang w:bidi="ar-SA"/>
        </w:rPr>
        <w:t>4</w:t>
      </w:r>
      <w:r w:rsidRPr="005A72B5">
        <w:rPr>
          <w:rFonts w:asciiTheme="majorBidi" w:hAnsiTheme="majorBidi" w:cstheme="majorBidi"/>
          <w:sz w:val="24"/>
          <w:szCs w:val="24"/>
          <w:lang w:bidi="ar-SA"/>
        </w:rPr>
        <w:t xml:space="preserve"> Early risk prediction is essential for recognizing patients highly susceptible to LVA formation after PCI so that the disease could be prevented or at least cured. With the development of reperfusion strategies such as PCI, the risk of LVA formation has decreased significantly in recent </w:t>
      </w:r>
      <w:proofErr w:type="gramStart"/>
      <w:r w:rsidRPr="005A72B5">
        <w:rPr>
          <w:rFonts w:asciiTheme="majorBidi" w:hAnsiTheme="majorBidi" w:cstheme="majorBidi"/>
          <w:sz w:val="24"/>
          <w:szCs w:val="24"/>
          <w:lang w:bidi="ar-SA"/>
        </w:rPr>
        <w:t>years</w:t>
      </w:r>
      <w:r w:rsidR="00516F4F" w:rsidRPr="005A72B5">
        <w:rPr>
          <w:rFonts w:asciiTheme="majorBidi" w:hAnsiTheme="majorBidi" w:cstheme="majorBidi"/>
          <w:sz w:val="24"/>
          <w:szCs w:val="24"/>
          <w:lang w:bidi="ar-SA"/>
        </w:rPr>
        <w:t>.</w:t>
      </w:r>
      <w:r w:rsidR="00516F4F" w:rsidRPr="005A72B5">
        <w:rPr>
          <w:rFonts w:asciiTheme="majorBidi" w:hAnsiTheme="majorBidi" w:cstheme="majorBidi"/>
          <w:sz w:val="24"/>
          <w:szCs w:val="24"/>
          <w:vertAlign w:val="superscript"/>
          <w:lang w:bidi="ar-SA"/>
        </w:rPr>
        <w:t>7</w:t>
      </w:r>
      <w:r w:rsidRPr="005A72B5">
        <w:rPr>
          <w:rFonts w:asciiTheme="majorBidi" w:hAnsiTheme="majorBidi" w:cstheme="majorBidi"/>
          <w:sz w:val="24"/>
          <w:szCs w:val="24"/>
          <w:lang w:bidi="ar-SA"/>
        </w:rPr>
        <w:t xml:space="preserve">  Investigating</w:t>
      </w:r>
      <w:proofErr w:type="gramEnd"/>
      <w:r w:rsidRPr="005A72B5">
        <w:rPr>
          <w:rFonts w:asciiTheme="majorBidi" w:hAnsiTheme="majorBidi" w:cstheme="majorBidi"/>
          <w:sz w:val="24"/>
          <w:szCs w:val="24"/>
          <w:lang w:bidi="ar-SA"/>
        </w:rPr>
        <w:t xml:space="preserve"> the rate of LVA formation in this study within one year after P-PCI revealed that LVA was formed in 17.6% of the patients. Wang et al. found that LVA formation had a rate of 12% at one year after P-PCI</w:t>
      </w:r>
      <w:r w:rsidR="00FB15B4" w:rsidRPr="005A72B5">
        <w:rPr>
          <w:rFonts w:asciiTheme="majorBidi" w:hAnsiTheme="majorBidi" w:cstheme="majorBidi"/>
          <w:sz w:val="24"/>
          <w:szCs w:val="24"/>
          <w:lang w:bidi="ar-SA"/>
        </w:rPr>
        <w:t>.</w:t>
      </w:r>
      <w:r w:rsidR="00FB15B4" w:rsidRPr="005A72B5">
        <w:rPr>
          <w:rFonts w:asciiTheme="majorBidi" w:hAnsiTheme="majorBidi" w:cstheme="majorBidi"/>
          <w:sz w:val="24"/>
          <w:szCs w:val="24"/>
          <w:vertAlign w:val="superscript"/>
          <w:lang w:bidi="ar-SA"/>
        </w:rPr>
        <w:t>13</w:t>
      </w:r>
      <w:r w:rsidRPr="005A72B5">
        <w:rPr>
          <w:rFonts w:asciiTheme="majorBidi" w:hAnsiTheme="majorBidi" w:cstheme="majorBidi"/>
          <w:sz w:val="24"/>
          <w:szCs w:val="24"/>
          <w:lang w:bidi="ar-SA"/>
        </w:rPr>
        <w:t xml:space="preserve"> In the study of </w:t>
      </w:r>
      <w:proofErr w:type="spellStart"/>
      <w:r w:rsidRPr="005A72B5">
        <w:rPr>
          <w:rFonts w:asciiTheme="majorBidi" w:hAnsiTheme="majorBidi" w:cstheme="majorBidi"/>
          <w:sz w:val="24"/>
          <w:szCs w:val="24"/>
          <w:lang w:bidi="ar-SA"/>
        </w:rPr>
        <w:t>Galiuto</w:t>
      </w:r>
      <w:proofErr w:type="spellEnd"/>
      <w:r w:rsidRPr="005A72B5">
        <w:rPr>
          <w:rFonts w:asciiTheme="majorBidi" w:hAnsiTheme="majorBidi" w:cstheme="majorBidi"/>
          <w:sz w:val="24"/>
          <w:szCs w:val="24"/>
          <w:lang w:bidi="ar-SA"/>
        </w:rPr>
        <w:t xml:space="preserve"> et al., the rate of LVA formation was 27% and 8% in patients with and without ST-segment elevation at discharge, respectively</w:t>
      </w:r>
      <w:r w:rsidR="00746FA5" w:rsidRPr="005A72B5">
        <w:rPr>
          <w:rFonts w:asciiTheme="majorBidi" w:hAnsiTheme="majorBidi" w:cstheme="majorBidi"/>
          <w:sz w:val="24"/>
          <w:szCs w:val="24"/>
          <w:lang w:bidi="ar-SA"/>
        </w:rPr>
        <w:t>.</w:t>
      </w:r>
      <w:r w:rsidR="00746FA5" w:rsidRPr="005A72B5">
        <w:rPr>
          <w:rFonts w:asciiTheme="majorBidi" w:hAnsiTheme="majorBidi" w:cstheme="majorBidi"/>
          <w:sz w:val="24"/>
          <w:szCs w:val="24"/>
          <w:vertAlign w:val="superscript"/>
          <w:lang w:bidi="ar-SA"/>
        </w:rPr>
        <w:t>14</w:t>
      </w:r>
      <w:r w:rsidRPr="005A72B5">
        <w:rPr>
          <w:rFonts w:asciiTheme="majorBidi" w:hAnsiTheme="majorBidi" w:cstheme="majorBidi"/>
          <w:sz w:val="24"/>
          <w:szCs w:val="24"/>
          <w:lang w:bidi="ar-SA"/>
        </w:rPr>
        <w:t xml:space="preserve">  Mori et al. in their study reported the rate of LV apical aneurysm to be 18% at 6 to 12 months after P-PCI</w:t>
      </w:r>
      <w:r w:rsidR="00721323" w:rsidRPr="005A72B5">
        <w:rPr>
          <w:rFonts w:asciiTheme="majorBidi" w:hAnsiTheme="majorBidi" w:cstheme="majorBidi"/>
          <w:sz w:val="24"/>
          <w:szCs w:val="24"/>
          <w:lang w:bidi="ar-SA"/>
        </w:rPr>
        <w:t>.</w:t>
      </w:r>
      <w:r w:rsidR="00721323" w:rsidRPr="005A72B5">
        <w:rPr>
          <w:rFonts w:asciiTheme="majorBidi" w:hAnsiTheme="majorBidi" w:cstheme="majorBidi"/>
          <w:sz w:val="24"/>
          <w:szCs w:val="24"/>
          <w:vertAlign w:val="superscript"/>
          <w:lang w:bidi="ar-SA"/>
        </w:rPr>
        <w:t>15</w:t>
      </w:r>
      <w:r w:rsidRPr="005A72B5">
        <w:rPr>
          <w:rFonts w:asciiTheme="majorBidi" w:hAnsiTheme="majorBidi" w:cstheme="majorBidi"/>
          <w:sz w:val="24"/>
          <w:szCs w:val="24"/>
          <w:lang w:bidi="ar-SA"/>
        </w:rPr>
        <w:t xml:space="preserve">  Yet in another study, Mori et al. found that in patients undergoing PPCI, peak </w:t>
      </w:r>
      <w:proofErr w:type="spellStart"/>
      <w:r w:rsidRPr="005A72B5">
        <w:rPr>
          <w:rFonts w:asciiTheme="majorBidi" w:hAnsiTheme="majorBidi" w:cstheme="majorBidi"/>
          <w:sz w:val="24"/>
          <w:szCs w:val="24"/>
          <w:lang w:bidi="ar-SA"/>
        </w:rPr>
        <w:t>creatine</w:t>
      </w:r>
      <w:proofErr w:type="spellEnd"/>
      <w:r w:rsidRPr="005A72B5">
        <w:rPr>
          <w:rFonts w:asciiTheme="majorBidi" w:hAnsiTheme="majorBidi" w:cstheme="majorBidi"/>
          <w:sz w:val="24"/>
          <w:szCs w:val="24"/>
          <w:lang w:bidi="ar-SA"/>
        </w:rPr>
        <w:t xml:space="preserve"> kinase and the TIMI flow grade were significantly associated with LVA formation</w:t>
      </w:r>
      <w:r w:rsidR="008E48EA" w:rsidRPr="005A72B5">
        <w:rPr>
          <w:rFonts w:asciiTheme="majorBidi" w:hAnsiTheme="majorBidi" w:cstheme="majorBidi"/>
          <w:sz w:val="24"/>
          <w:szCs w:val="24"/>
          <w:lang w:bidi="ar-SA"/>
        </w:rPr>
        <w:t>.</w:t>
      </w:r>
      <w:r w:rsidR="008E48EA" w:rsidRPr="005A72B5">
        <w:rPr>
          <w:rFonts w:asciiTheme="majorBidi" w:hAnsiTheme="majorBidi" w:cstheme="majorBidi"/>
          <w:sz w:val="24"/>
          <w:szCs w:val="24"/>
          <w:vertAlign w:val="superscript"/>
          <w:lang w:bidi="ar-SA"/>
        </w:rPr>
        <w:t>15</w:t>
      </w:r>
      <w:r w:rsidRPr="005A72B5">
        <w:rPr>
          <w:rFonts w:asciiTheme="majorBidi" w:hAnsiTheme="majorBidi" w:cstheme="majorBidi"/>
          <w:sz w:val="24"/>
          <w:szCs w:val="24"/>
          <w:lang w:bidi="ar-SA"/>
        </w:rPr>
        <w:t xml:space="preserve">  In a </w:t>
      </w:r>
      <w:r w:rsidRPr="005A72B5">
        <w:rPr>
          <w:rFonts w:asciiTheme="majorBidi" w:hAnsiTheme="majorBidi" w:cstheme="majorBidi"/>
          <w:sz w:val="24"/>
          <w:szCs w:val="24"/>
          <w:lang w:bidi="ar-SA"/>
        </w:rPr>
        <w:lastRenderedPageBreak/>
        <w:t>study by Shen et al., it was revealed that a large MI can cause LVA formation</w:t>
      </w:r>
      <w:r w:rsidR="00A11B30" w:rsidRPr="005A72B5">
        <w:rPr>
          <w:rFonts w:asciiTheme="majorBidi" w:hAnsiTheme="majorBidi" w:cstheme="majorBidi"/>
          <w:sz w:val="24"/>
          <w:szCs w:val="24"/>
          <w:lang w:bidi="ar-SA"/>
        </w:rPr>
        <w:t>.</w:t>
      </w:r>
      <w:r w:rsidR="00A11B30" w:rsidRPr="005A72B5">
        <w:rPr>
          <w:rFonts w:asciiTheme="majorBidi" w:hAnsiTheme="majorBidi" w:cstheme="majorBidi"/>
          <w:sz w:val="24"/>
          <w:szCs w:val="24"/>
          <w:vertAlign w:val="superscript"/>
          <w:lang w:bidi="ar-SA"/>
        </w:rPr>
        <w:t>3</w:t>
      </w:r>
      <w:r w:rsidRPr="005A72B5">
        <w:rPr>
          <w:rFonts w:asciiTheme="majorBidi" w:hAnsiTheme="majorBidi" w:cstheme="majorBidi"/>
          <w:sz w:val="24"/>
          <w:szCs w:val="24"/>
          <w:lang w:bidi="ar-SA"/>
        </w:rPr>
        <w:t xml:space="preserve">  </w:t>
      </w:r>
      <w:proofErr w:type="spellStart"/>
      <w:r w:rsidRPr="005A72B5">
        <w:rPr>
          <w:rFonts w:asciiTheme="majorBidi" w:hAnsiTheme="majorBidi" w:cstheme="majorBidi"/>
          <w:sz w:val="24"/>
          <w:szCs w:val="24"/>
          <w:lang w:bidi="ar-SA"/>
        </w:rPr>
        <w:t>Celik</w:t>
      </w:r>
      <w:proofErr w:type="spellEnd"/>
      <w:r w:rsidRPr="005A72B5">
        <w:rPr>
          <w:rFonts w:asciiTheme="majorBidi" w:hAnsiTheme="majorBidi" w:cstheme="majorBidi"/>
          <w:sz w:val="24"/>
          <w:szCs w:val="24"/>
          <w:lang w:bidi="ar-SA"/>
        </w:rPr>
        <w:t xml:space="preserve"> et al. found that intra-stent thrombosis and in-hospital mortality were significantly higher in TIMI grades 0, 1, and 2</w:t>
      </w:r>
      <w:r w:rsidR="000B6C06" w:rsidRPr="005A72B5">
        <w:rPr>
          <w:rFonts w:asciiTheme="majorBidi" w:hAnsiTheme="majorBidi" w:cstheme="majorBidi"/>
          <w:sz w:val="24"/>
          <w:szCs w:val="24"/>
          <w:lang w:bidi="ar-SA"/>
        </w:rPr>
        <w:t>.</w:t>
      </w:r>
      <w:r w:rsidR="000B6C06" w:rsidRPr="005A72B5">
        <w:rPr>
          <w:rFonts w:asciiTheme="majorBidi" w:hAnsiTheme="majorBidi" w:cstheme="majorBidi"/>
          <w:sz w:val="24"/>
          <w:szCs w:val="24"/>
          <w:vertAlign w:val="superscript"/>
          <w:lang w:bidi="ar-SA"/>
        </w:rPr>
        <w:t>16</w:t>
      </w:r>
      <w:r w:rsidRPr="005A72B5">
        <w:rPr>
          <w:rFonts w:asciiTheme="majorBidi" w:hAnsiTheme="majorBidi" w:cstheme="majorBidi"/>
          <w:sz w:val="24"/>
          <w:szCs w:val="24"/>
          <w:lang w:bidi="ar-SA"/>
        </w:rPr>
        <w:t xml:space="preserve">  In another research, </w:t>
      </w:r>
      <w:proofErr w:type="spellStart"/>
      <w:r w:rsidRPr="005A72B5">
        <w:rPr>
          <w:rFonts w:asciiTheme="majorBidi" w:hAnsiTheme="majorBidi" w:cstheme="majorBidi"/>
          <w:sz w:val="24"/>
          <w:szCs w:val="24"/>
          <w:lang w:bidi="ar-SA"/>
        </w:rPr>
        <w:t>Galiuto</w:t>
      </w:r>
      <w:proofErr w:type="spellEnd"/>
      <w:r w:rsidRPr="005A72B5">
        <w:rPr>
          <w:rFonts w:asciiTheme="majorBidi" w:hAnsiTheme="majorBidi" w:cstheme="majorBidi"/>
          <w:sz w:val="24"/>
          <w:szCs w:val="24"/>
          <w:lang w:bidi="ar-SA"/>
        </w:rPr>
        <w:t xml:space="preserve"> et al. reported no significant relationship between TIMI 3 grade flow and increased risk of LVA formation within 6 months after P-PCI</w:t>
      </w:r>
      <w:r w:rsidR="0079545F" w:rsidRPr="005A72B5">
        <w:rPr>
          <w:rFonts w:asciiTheme="majorBidi" w:hAnsiTheme="majorBidi" w:cstheme="majorBidi"/>
          <w:sz w:val="24"/>
          <w:szCs w:val="24"/>
          <w:lang w:bidi="ar-SA"/>
        </w:rPr>
        <w:t>.</w:t>
      </w:r>
      <w:r w:rsidR="0079545F" w:rsidRPr="005A72B5">
        <w:rPr>
          <w:rFonts w:asciiTheme="majorBidi" w:hAnsiTheme="majorBidi" w:cstheme="majorBidi"/>
          <w:sz w:val="24"/>
          <w:szCs w:val="24"/>
          <w:vertAlign w:val="superscript"/>
          <w:lang w:bidi="ar-SA"/>
        </w:rPr>
        <w:t>14</w:t>
      </w:r>
      <w:r w:rsidRPr="005A72B5">
        <w:rPr>
          <w:rFonts w:asciiTheme="majorBidi" w:hAnsiTheme="majorBidi" w:cstheme="majorBidi"/>
          <w:sz w:val="24"/>
          <w:szCs w:val="24"/>
          <w:lang w:bidi="ar-SA"/>
        </w:rPr>
        <w:t xml:space="preserve"> Different demographic characteristics and PCI procedures can explain the discrepancy between their results and ours. While numerous reports have demonstrated the predictive value of hematological parameters for the prognosis of acute MI patients undergoing primary PCI, limited studies have investigated the link between hematological parameters and LVA formation. Thus, the main purpose of this study was to investigate the relationship between platelet count after P-PCI and LVA formation in STEMI patients. </w:t>
      </w:r>
      <w:r w:rsidR="006E1EC0" w:rsidRPr="006E1EC0">
        <w:rPr>
          <w:rFonts w:asciiTheme="majorBidi" w:hAnsiTheme="majorBidi" w:cstheme="majorBidi"/>
          <w:color w:val="00B050"/>
          <w:sz w:val="24"/>
          <w:szCs w:val="24"/>
          <w:lang w:bidi="ar-SA"/>
        </w:rPr>
        <w:t>Based on the</w:t>
      </w:r>
      <w:r w:rsidRPr="006E1EC0">
        <w:rPr>
          <w:rFonts w:asciiTheme="majorBidi" w:hAnsiTheme="majorBidi" w:cstheme="majorBidi"/>
          <w:color w:val="00B050"/>
          <w:sz w:val="24"/>
          <w:szCs w:val="24"/>
          <w:lang w:bidi="ar-SA"/>
        </w:rPr>
        <w:t xml:space="preserve"> results of our study </w:t>
      </w:r>
      <w:r w:rsidR="006E1EC0" w:rsidRPr="006E1EC0">
        <w:rPr>
          <w:rFonts w:asciiTheme="majorBidi" w:hAnsiTheme="majorBidi" w:cstheme="majorBidi"/>
          <w:color w:val="00B050"/>
          <w:sz w:val="24"/>
          <w:szCs w:val="24"/>
          <w:lang w:bidi="ar-SA"/>
        </w:rPr>
        <w:t>the correlation between platelet count after P-PCI and LVA formation was observed to be statistically significant</w:t>
      </w:r>
      <w:r w:rsidR="006E1EC0">
        <w:rPr>
          <w:rFonts w:asciiTheme="majorBidi" w:hAnsiTheme="majorBidi" w:cstheme="majorBidi"/>
          <w:color w:val="00B050"/>
          <w:sz w:val="24"/>
          <w:szCs w:val="24"/>
          <w:lang w:bidi="ar-SA"/>
        </w:rPr>
        <w:t xml:space="preserve"> and </w:t>
      </w:r>
      <w:r w:rsidRPr="006E1EC0">
        <w:rPr>
          <w:rFonts w:asciiTheme="majorBidi" w:hAnsiTheme="majorBidi" w:cstheme="majorBidi"/>
          <w:color w:val="00B050"/>
          <w:sz w:val="24"/>
          <w:szCs w:val="24"/>
          <w:lang w:bidi="ar-SA"/>
        </w:rPr>
        <w:t xml:space="preserve">every one-unit increase in platelet count after P-PCI led to the decreased risk of LVA formation. </w:t>
      </w:r>
      <w:r w:rsidRPr="005A72B5">
        <w:rPr>
          <w:rFonts w:asciiTheme="majorBidi" w:hAnsiTheme="majorBidi" w:cstheme="majorBidi"/>
          <w:sz w:val="24"/>
          <w:szCs w:val="24"/>
          <w:lang w:bidi="ar-SA"/>
        </w:rPr>
        <w:t>In a study by Liu et al., it was concluded that platelets accumulated in MI may play a role in regional inflammation, ventricular remodeling, and ventricular rupture, and that antiplatelet therapy would reduce inflammation severity and the risk of post-MI complications</w:t>
      </w:r>
      <w:r w:rsidR="004F430F" w:rsidRPr="005A72B5">
        <w:rPr>
          <w:rFonts w:asciiTheme="majorBidi" w:hAnsiTheme="majorBidi" w:cstheme="majorBidi"/>
          <w:sz w:val="24"/>
          <w:szCs w:val="24"/>
          <w:lang w:bidi="ar-SA"/>
        </w:rPr>
        <w:t>.</w:t>
      </w:r>
      <w:r w:rsidR="004F430F" w:rsidRPr="005A72B5">
        <w:rPr>
          <w:rFonts w:asciiTheme="majorBidi" w:hAnsiTheme="majorBidi" w:cstheme="majorBidi"/>
          <w:sz w:val="24"/>
          <w:szCs w:val="24"/>
          <w:vertAlign w:val="superscript"/>
          <w:lang w:bidi="ar-SA"/>
        </w:rPr>
        <w:t>17</w:t>
      </w:r>
      <w:r w:rsidRPr="005A72B5">
        <w:rPr>
          <w:rFonts w:asciiTheme="majorBidi" w:hAnsiTheme="majorBidi" w:cstheme="majorBidi"/>
          <w:sz w:val="24"/>
          <w:szCs w:val="24"/>
          <w:lang w:bidi="ar-SA"/>
        </w:rPr>
        <w:t xml:space="preserve"> Results of </w:t>
      </w:r>
      <w:proofErr w:type="spellStart"/>
      <w:r w:rsidRPr="005A72B5">
        <w:rPr>
          <w:rFonts w:asciiTheme="majorBidi" w:hAnsiTheme="majorBidi" w:cstheme="majorBidi"/>
          <w:sz w:val="24"/>
          <w:szCs w:val="24"/>
          <w:lang w:bidi="ar-SA"/>
        </w:rPr>
        <w:t>Nikolsky’s</w:t>
      </w:r>
      <w:proofErr w:type="spellEnd"/>
      <w:r w:rsidRPr="005A72B5">
        <w:rPr>
          <w:rFonts w:asciiTheme="majorBidi" w:hAnsiTheme="majorBidi" w:cstheme="majorBidi"/>
          <w:sz w:val="24"/>
          <w:szCs w:val="24"/>
          <w:lang w:bidi="ar-SA"/>
        </w:rPr>
        <w:t xml:space="preserve"> clinical study showed that high initial platelet count in patients with acute MI was a powerful independent predictor of death and re-infarction during the first year after P-PCI</w:t>
      </w:r>
      <w:r w:rsidR="00A9472F" w:rsidRPr="005A72B5">
        <w:rPr>
          <w:rFonts w:asciiTheme="majorBidi" w:hAnsiTheme="majorBidi" w:cstheme="majorBidi"/>
          <w:sz w:val="24"/>
          <w:szCs w:val="24"/>
          <w:lang w:bidi="ar-SA"/>
        </w:rPr>
        <w:t>.</w:t>
      </w:r>
      <w:r w:rsidR="00A9472F" w:rsidRPr="005A72B5">
        <w:rPr>
          <w:rFonts w:asciiTheme="majorBidi" w:hAnsiTheme="majorBidi" w:cstheme="majorBidi"/>
          <w:sz w:val="24"/>
          <w:szCs w:val="24"/>
          <w:vertAlign w:val="superscript"/>
          <w:lang w:bidi="ar-SA"/>
        </w:rPr>
        <w:t>18</w:t>
      </w:r>
      <w:r w:rsidRPr="005A72B5">
        <w:rPr>
          <w:rFonts w:asciiTheme="majorBidi" w:hAnsiTheme="majorBidi" w:cstheme="majorBidi"/>
          <w:sz w:val="24"/>
          <w:szCs w:val="24"/>
          <w:lang w:bidi="ar-SA"/>
        </w:rPr>
        <w:t xml:space="preserve"> According to the previous research works, platelets enhance the formation of thrombus in the MI pathophysiological process. In addition, they can stimulate the insufficient inflammatory response and ventricular re-modelling</w:t>
      </w:r>
      <w:r w:rsidR="00864E72" w:rsidRPr="005A72B5">
        <w:rPr>
          <w:rFonts w:asciiTheme="majorBidi" w:hAnsiTheme="majorBidi" w:cstheme="majorBidi"/>
          <w:sz w:val="24"/>
          <w:szCs w:val="24"/>
          <w:lang w:bidi="ar-SA"/>
        </w:rPr>
        <w:t>.</w:t>
      </w:r>
      <w:r w:rsidR="00864E72" w:rsidRPr="005A72B5">
        <w:rPr>
          <w:rFonts w:asciiTheme="majorBidi" w:hAnsiTheme="majorBidi" w:cstheme="majorBidi"/>
          <w:sz w:val="24"/>
          <w:szCs w:val="24"/>
          <w:vertAlign w:val="superscript"/>
          <w:lang w:bidi="ar-SA"/>
        </w:rPr>
        <w:t>19</w:t>
      </w:r>
      <w:r w:rsidRPr="005A72B5">
        <w:rPr>
          <w:rFonts w:asciiTheme="majorBidi" w:hAnsiTheme="majorBidi" w:cstheme="majorBidi"/>
          <w:sz w:val="24"/>
          <w:szCs w:val="24"/>
          <w:lang w:bidi="ar-SA"/>
        </w:rPr>
        <w:t xml:space="preserve"> In spite of the involvement of activated platelets in the circulatory inflammation </w:t>
      </w:r>
      <w:proofErr w:type="gramStart"/>
      <w:r w:rsidRPr="005A72B5">
        <w:rPr>
          <w:rFonts w:asciiTheme="majorBidi" w:hAnsiTheme="majorBidi" w:cstheme="majorBidi"/>
          <w:sz w:val="24"/>
          <w:szCs w:val="24"/>
          <w:lang w:bidi="ar-SA"/>
        </w:rPr>
        <w:t>response,</w:t>
      </w:r>
      <w:proofErr w:type="gramEnd"/>
      <w:r w:rsidRPr="005A72B5">
        <w:rPr>
          <w:rFonts w:asciiTheme="majorBidi" w:hAnsiTheme="majorBidi" w:cstheme="majorBidi"/>
          <w:sz w:val="24"/>
          <w:szCs w:val="24"/>
          <w:lang w:bidi="ar-SA"/>
        </w:rPr>
        <w:t xml:space="preserve"> they connect to the inflamed </w:t>
      </w:r>
      <w:proofErr w:type="spellStart"/>
      <w:r w:rsidRPr="005A72B5">
        <w:rPr>
          <w:rFonts w:asciiTheme="majorBidi" w:hAnsiTheme="majorBidi" w:cstheme="majorBidi"/>
          <w:sz w:val="24"/>
          <w:szCs w:val="24"/>
          <w:lang w:bidi="ar-SA"/>
        </w:rPr>
        <w:t>microvessels</w:t>
      </w:r>
      <w:proofErr w:type="spellEnd"/>
      <w:r w:rsidRPr="005A72B5">
        <w:rPr>
          <w:rFonts w:asciiTheme="majorBidi" w:hAnsiTheme="majorBidi" w:cstheme="majorBidi"/>
          <w:sz w:val="24"/>
          <w:szCs w:val="24"/>
          <w:lang w:bidi="ar-SA"/>
        </w:rPr>
        <w:t xml:space="preserve"> wall. It happens via direct attachment to endothelial cells or via attaching to leucocytes, which previously adhered to the wall of the vessel. Platelets are able to discharge inflammation markers, and they can cause direct activation of other inflammatory cells, resulting in more discharge of inflammatory cytokines </w:t>
      </w:r>
      <w:r w:rsidRPr="005A72B5">
        <w:rPr>
          <w:rFonts w:asciiTheme="majorBidi" w:hAnsiTheme="majorBidi" w:cstheme="majorBidi"/>
          <w:sz w:val="24"/>
          <w:szCs w:val="24"/>
          <w:lang w:bidi="ar-SA"/>
        </w:rPr>
        <w:lastRenderedPageBreak/>
        <w:t xml:space="preserve">and augmenting the inflammatory response in the </w:t>
      </w:r>
      <w:proofErr w:type="gramStart"/>
      <w:r w:rsidRPr="005A72B5">
        <w:rPr>
          <w:rFonts w:asciiTheme="majorBidi" w:hAnsiTheme="majorBidi" w:cstheme="majorBidi"/>
          <w:sz w:val="24"/>
          <w:szCs w:val="24"/>
          <w:lang w:bidi="ar-SA"/>
        </w:rPr>
        <w:t>microvessels</w:t>
      </w:r>
      <w:r w:rsidR="00381B7B" w:rsidRPr="005A72B5">
        <w:rPr>
          <w:rFonts w:asciiTheme="majorBidi" w:hAnsiTheme="majorBidi" w:cstheme="majorBidi"/>
          <w:sz w:val="24"/>
          <w:szCs w:val="24"/>
          <w:lang w:bidi="ar-SA"/>
        </w:rPr>
        <w:t>.</w:t>
      </w:r>
      <w:r w:rsidR="00381B7B" w:rsidRPr="005A72B5">
        <w:rPr>
          <w:rFonts w:asciiTheme="majorBidi" w:hAnsiTheme="majorBidi" w:cstheme="majorBidi"/>
          <w:sz w:val="24"/>
          <w:szCs w:val="24"/>
          <w:vertAlign w:val="superscript"/>
          <w:lang w:bidi="ar-SA"/>
        </w:rPr>
        <w:t>6</w:t>
      </w:r>
      <w:r w:rsidRPr="005A72B5">
        <w:rPr>
          <w:rFonts w:asciiTheme="majorBidi" w:hAnsiTheme="majorBidi" w:cstheme="majorBidi"/>
          <w:sz w:val="24"/>
          <w:szCs w:val="24"/>
          <w:lang w:bidi="ar-SA"/>
        </w:rPr>
        <w:t xml:space="preserve"> </w:t>
      </w:r>
      <w:r w:rsidRPr="005A72B5">
        <w:rPr>
          <w:rFonts w:asciiTheme="majorBidi" w:hAnsiTheme="majorBidi" w:cstheme="majorBidi"/>
          <w:sz w:val="24"/>
          <w:szCs w:val="24"/>
          <w:rtl/>
          <w:lang w:bidi="ar-SA"/>
        </w:rPr>
        <w:t xml:space="preserve"> </w:t>
      </w:r>
      <w:r w:rsidRPr="005A72B5">
        <w:rPr>
          <w:rFonts w:asciiTheme="majorBidi" w:hAnsiTheme="majorBidi" w:cstheme="majorBidi"/>
          <w:sz w:val="24"/>
          <w:szCs w:val="24"/>
          <w:lang w:bidi="ar-SA"/>
        </w:rPr>
        <w:t>The</w:t>
      </w:r>
      <w:proofErr w:type="gramEnd"/>
      <w:r w:rsidRPr="005A72B5">
        <w:rPr>
          <w:rFonts w:asciiTheme="majorBidi" w:hAnsiTheme="majorBidi" w:cstheme="majorBidi"/>
          <w:sz w:val="24"/>
          <w:szCs w:val="24"/>
          <w:lang w:bidi="ar-SA"/>
        </w:rPr>
        <w:t xml:space="preserve"> cross talk between leucocytes, endothelial cells, and platelets could diminish the microvascular activity in the infarct zone. It can happen also in patients who have had acceptable mechanical reperfusion therapy. As reported by </w:t>
      </w:r>
      <w:proofErr w:type="spellStart"/>
      <w:r w:rsidRPr="005A72B5">
        <w:rPr>
          <w:rFonts w:asciiTheme="majorBidi" w:hAnsiTheme="majorBidi" w:cstheme="majorBidi"/>
          <w:sz w:val="24"/>
          <w:szCs w:val="24"/>
          <w:lang w:bidi="ar-SA"/>
        </w:rPr>
        <w:t>Yamamuro</w:t>
      </w:r>
      <w:proofErr w:type="spellEnd"/>
      <w:r w:rsidRPr="005A72B5">
        <w:rPr>
          <w:rFonts w:asciiTheme="majorBidi" w:hAnsiTheme="majorBidi" w:cstheme="majorBidi"/>
          <w:sz w:val="24"/>
          <w:szCs w:val="24"/>
          <w:lang w:bidi="ar-SA"/>
        </w:rPr>
        <w:t xml:space="preserve"> et al.,</w:t>
      </w:r>
      <w:r w:rsidRPr="005A72B5">
        <w:rPr>
          <w:rFonts w:asciiTheme="majorBidi" w:hAnsiTheme="majorBidi" w:cstheme="majorBidi"/>
          <w:sz w:val="24"/>
          <w:szCs w:val="24"/>
          <w:rtl/>
          <w:lang w:bidi="ar-SA"/>
        </w:rPr>
        <w:t xml:space="preserve"> </w:t>
      </w:r>
      <w:r w:rsidR="00093434" w:rsidRPr="005A72B5">
        <w:rPr>
          <w:rFonts w:asciiTheme="majorBidi" w:hAnsiTheme="majorBidi" w:cstheme="majorBidi"/>
          <w:sz w:val="24"/>
          <w:szCs w:val="24"/>
          <w:vertAlign w:val="superscript"/>
          <w:lang w:bidi="ar-SA"/>
        </w:rPr>
        <w:t>20</w:t>
      </w:r>
      <w:r w:rsidR="00B80AD6" w:rsidRPr="005A72B5">
        <w:rPr>
          <w:rFonts w:asciiTheme="majorBidi" w:hAnsiTheme="majorBidi" w:cstheme="majorBidi"/>
          <w:sz w:val="24"/>
          <w:szCs w:val="24"/>
          <w:lang w:bidi="ar-SA"/>
        </w:rPr>
        <w:t xml:space="preserve"> </w:t>
      </w:r>
      <w:r w:rsidRPr="005A72B5">
        <w:rPr>
          <w:rFonts w:asciiTheme="majorBidi" w:hAnsiTheme="majorBidi" w:cstheme="majorBidi"/>
          <w:sz w:val="24"/>
          <w:szCs w:val="24"/>
          <w:lang w:bidi="ar-SA"/>
        </w:rPr>
        <w:t xml:space="preserve">even if reperfusion is successful in </w:t>
      </w:r>
      <w:proofErr w:type="spellStart"/>
      <w:r w:rsidRPr="005A72B5">
        <w:rPr>
          <w:rFonts w:asciiTheme="majorBidi" w:hAnsiTheme="majorBidi" w:cstheme="majorBidi"/>
          <w:sz w:val="24"/>
          <w:szCs w:val="24"/>
          <w:lang w:bidi="ar-SA"/>
        </w:rPr>
        <w:t>epicardial</w:t>
      </w:r>
      <w:proofErr w:type="spellEnd"/>
      <w:r w:rsidRPr="005A72B5">
        <w:rPr>
          <w:rFonts w:asciiTheme="majorBidi" w:hAnsiTheme="majorBidi" w:cstheme="majorBidi"/>
          <w:sz w:val="24"/>
          <w:szCs w:val="24"/>
          <w:lang w:bidi="ar-SA"/>
        </w:rPr>
        <w:t xml:space="preserve"> coronary arteries, microvascular dysfunction, which is evaluated by coronary flow velocity, leads to inadequate infarcted myocardium reperfusion. It results in dysfunction of the left ventricular and formation of LVA.</w:t>
      </w:r>
      <w:r w:rsidRPr="005A72B5">
        <w:rPr>
          <w:rFonts w:asciiTheme="majorBidi" w:hAnsiTheme="majorBidi" w:cstheme="majorBidi"/>
          <w:sz w:val="24"/>
          <w:szCs w:val="24"/>
          <w:rtl/>
          <w:lang w:bidi="ar-SA"/>
        </w:rPr>
        <w:t xml:space="preserve"> </w:t>
      </w:r>
      <w:r w:rsidRPr="005A72B5">
        <w:rPr>
          <w:rFonts w:asciiTheme="majorBidi" w:hAnsiTheme="majorBidi" w:cstheme="majorBidi"/>
          <w:sz w:val="24"/>
          <w:szCs w:val="24"/>
          <w:lang w:bidi="ar-SA"/>
        </w:rPr>
        <w:t>One of the limitations of our study was that we only investigated patients in a single medical center cross-</w:t>
      </w:r>
      <w:proofErr w:type="spellStart"/>
      <w:r w:rsidRPr="005A72B5">
        <w:rPr>
          <w:rFonts w:asciiTheme="majorBidi" w:hAnsiTheme="majorBidi" w:cstheme="majorBidi"/>
          <w:sz w:val="24"/>
          <w:szCs w:val="24"/>
          <w:lang w:bidi="ar-SA"/>
        </w:rPr>
        <w:t>sectionally</w:t>
      </w:r>
      <w:proofErr w:type="spellEnd"/>
      <w:r w:rsidRPr="005A72B5">
        <w:rPr>
          <w:rFonts w:asciiTheme="majorBidi" w:hAnsiTheme="majorBidi" w:cstheme="majorBidi"/>
          <w:sz w:val="24"/>
          <w:szCs w:val="24"/>
          <w:lang w:bidi="ar-SA"/>
        </w:rPr>
        <w:t xml:space="preserve">. Therefore, we recommend </w:t>
      </w:r>
      <w:proofErr w:type="gramStart"/>
      <w:r w:rsidRPr="005A72B5">
        <w:rPr>
          <w:rFonts w:asciiTheme="majorBidi" w:hAnsiTheme="majorBidi" w:cstheme="majorBidi"/>
          <w:sz w:val="24"/>
          <w:szCs w:val="24"/>
          <w:lang w:bidi="ar-SA"/>
        </w:rPr>
        <w:t>to conduct</w:t>
      </w:r>
      <w:proofErr w:type="gramEnd"/>
      <w:r w:rsidRPr="005A72B5">
        <w:rPr>
          <w:rFonts w:asciiTheme="majorBidi" w:hAnsiTheme="majorBidi" w:cstheme="majorBidi"/>
          <w:sz w:val="24"/>
          <w:szCs w:val="24"/>
          <w:lang w:bidi="ar-SA"/>
        </w:rPr>
        <w:t xml:space="preserve"> further research with a larger sample size. Moreover, we did not examine drugs that can be used after P-PCI and alter platelet count. Thus, we suggest </w:t>
      </w:r>
      <w:proofErr w:type="gramStart"/>
      <w:r w:rsidRPr="005A72B5">
        <w:rPr>
          <w:rFonts w:asciiTheme="majorBidi" w:hAnsiTheme="majorBidi" w:cstheme="majorBidi"/>
          <w:sz w:val="24"/>
          <w:szCs w:val="24"/>
          <w:lang w:bidi="ar-SA"/>
        </w:rPr>
        <w:t>to make</w:t>
      </w:r>
      <w:proofErr w:type="gramEnd"/>
      <w:r w:rsidRPr="005A72B5">
        <w:rPr>
          <w:rFonts w:asciiTheme="majorBidi" w:hAnsiTheme="majorBidi" w:cstheme="majorBidi"/>
          <w:sz w:val="24"/>
          <w:szCs w:val="24"/>
          <w:lang w:bidi="ar-SA"/>
        </w:rPr>
        <w:t xml:space="preserve"> use of such drugs in future studies.</w:t>
      </w:r>
    </w:p>
    <w:p w14:paraId="374ABB3A" w14:textId="77777777" w:rsidR="00CD32D8" w:rsidRPr="005A72B5" w:rsidRDefault="00CD32D8" w:rsidP="005A72B5">
      <w:pPr>
        <w:bidi w:val="0"/>
        <w:spacing w:after="0"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CONCLUSION</w:t>
      </w:r>
    </w:p>
    <w:p w14:paraId="48FD7843" w14:textId="5BECE379" w:rsidR="00F62769" w:rsidRPr="005A72B5" w:rsidRDefault="00FC6240" w:rsidP="00067EEB">
      <w:pPr>
        <w:bidi w:val="0"/>
        <w:spacing w:after="0" w:line="480" w:lineRule="auto"/>
        <w:jc w:val="lowKashida"/>
        <w:rPr>
          <w:rFonts w:asciiTheme="majorBidi" w:hAnsiTheme="majorBidi" w:cstheme="majorBidi"/>
          <w:sz w:val="24"/>
          <w:szCs w:val="24"/>
          <w:rtl/>
          <w:lang w:bidi="ar-SA"/>
        </w:rPr>
      </w:pPr>
      <w:r w:rsidRPr="005A72B5">
        <w:rPr>
          <w:rFonts w:asciiTheme="majorBidi" w:hAnsiTheme="majorBidi" w:cstheme="majorBidi"/>
          <w:sz w:val="24"/>
          <w:szCs w:val="24"/>
          <w:lang w:bidi="ar-SA"/>
        </w:rPr>
        <w:t>In conclusion,</w:t>
      </w:r>
      <w:r w:rsidR="00067EEB">
        <w:rPr>
          <w:rFonts w:asciiTheme="majorBidi" w:hAnsiTheme="majorBidi" w:cstheme="majorBidi"/>
          <w:color w:val="00B050"/>
          <w:sz w:val="24"/>
          <w:szCs w:val="24"/>
          <w:lang w:bidi="ar-SA"/>
        </w:rPr>
        <w:t xml:space="preserve"> </w:t>
      </w:r>
      <w:r w:rsidR="00067EEB" w:rsidRPr="00067EEB">
        <w:rPr>
          <w:rFonts w:asciiTheme="majorBidi" w:hAnsiTheme="majorBidi" w:cstheme="majorBidi"/>
          <w:color w:val="00B050"/>
          <w:sz w:val="24"/>
          <w:szCs w:val="24"/>
          <w:lang w:bidi="ar-SA"/>
        </w:rPr>
        <w:t xml:space="preserve">the correlation between platelet count after P-PCI and LVA formation was observed to be statistically significant, so </w:t>
      </w:r>
      <w:r w:rsidRPr="00067EEB">
        <w:rPr>
          <w:rFonts w:asciiTheme="majorBidi" w:hAnsiTheme="majorBidi" w:cstheme="majorBidi"/>
          <w:color w:val="00B050"/>
          <w:sz w:val="24"/>
          <w:szCs w:val="24"/>
          <w:lang w:bidi="ar-SA"/>
        </w:rPr>
        <w:t>platelet count can be used for a more robust prediction of the risk of future LVA formation in acute STEMI patients.</w:t>
      </w:r>
      <w:r w:rsidRPr="005A72B5">
        <w:rPr>
          <w:rFonts w:asciiTheme="majorBidi" w:hAnsiTheme="majorBidi" w:cstheme="majorBidi"/>
          <w:sz w:val="24"/>
          <w:szCs w:val="24"/>
          <w:lang w:bidi="ar-SA"/>
        </w:rPr>
        <w:t xml:space="preserve"> Accordingly, the data from this study can contribute to the optimization of preventive treatments in order to improve outcomes in such patients.</w:t>
      </w:r>
    </w:p>
    <w:p w14:paraId="3EFB7429" w14:textId="77777777" w:rsidR="00F62769" w:rsidRPr="005A72B5" w:rsidRDefault="00F62769" w:rsidP="005A72B5">
      <w:pPr>
        <w:bidi w:val="0"/>
        <w:spacing w:after="0"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 xml:space="preserve">Acknowledgments </w:t>
      </w:r>
    </w:p>
    <w:p w14:paraId="4FA43038" w14:textId="77777777" w:rsidR="00F62769" w:rsidRPr="005A72B5" w:rsidRDefault="00F62769" w:rsidP="005A72B5">
      <w:pPr>
        <w:bidi w:val="0"/>
        <w:spacing w:after="0" w:line="480" w:lineRule="auto"/>
        <w:jc w:val="lowKashida"/>
        <w:rPr>
          <w:rFonts w:asciiTheme="majorBidi" w:hAnsiTheme="majorBidi" w:cstheme="majorBidi"/>
          <w:sz w:val="24"/>
          <w:szCs w:val="24"/>
          <w:lang w:bidi="ar-SA"/>
        </w:rPr>
      </w:pPr>
      <w:r w:rsidRPr="005A72B5">
        <w:rPr>
          <w:rFonts w:asciiTheme="majorBidi" w:hAnsiTheme="majorBidi" w:cstheme="majorBidi"/>
          <w:sz w:val="24"/>
          <w:szCs w:val="24"/>
          <w:lang w:bidi="ar-SA"/>
        </w:rPr>
        <w:t xml:space="preserve">The authors hereby express their gratitude to the staffs of </w:t>
      </w:r>
      <w:proofErr w:type="spellStart"/>
      <w:r w:rsidRPr="005A72B5">
        <w:rPr>
          <w:rFonts w:asciiTheme="majorBidi" w:hAnsiTheme="majorBidi" w:cstheme="majorBidi"/>
          <w:sz w:val="24"/>
          <w:szCs w:val="24"/>
          <w:lang w:bidi="ar-SA"/>
        </w:rPr>
        <w:t>Heshmat</w:t>
      </w:r>
      <w:proofErr w:type="spellEnd"/>
      <w:r w:rsidRPr="005A72B5">
        <w:rPr>
          <w:rFonts w:asciiTheme="majorBidi" w:hAnsiTheme="majorBidi" w:cstheme="majorBidi"/>
          <w:sz w:val="24"/>
          <w:szCs w:val="24"/>
          <w:lang w:bidi="ar-SA"/>
        </w:rPr>
        <w:t xml:space="preserve"> hospital, especially those people participating in the research, for their sincere cooperation.</w:t>
      </w:r>
    </w:p>
    <w:p w14:paraId="68DAC0B0" w14:textId="77777777" w:rsidR="00B22BC6" w:rsidRPr="005A72B5" w:rsidRDefault="00B22BC6" w:rsidP="005A72B5">
      <w:pPr>
        <w:bidi w:val="0"/>
        <w:spacing w:after="0" w:line="480" w:lineRule="auto"/>
        <w:jc w:val="lowKashida"/>
        <w:rPr>
          <w:rFonts w:asciiTheme="majorBidi" w:hAnsiTheme="majorBidi" w:cstheme="majorBidi"/>
          <w:sz w:val="24"/>
          <w:szCs w:val="24"/>
          <w:lang w:bidi="ar-SA"/>
        </w:rPr>
      </w:pPr>
      <w:r w:rsidRPr="005A72B5">
        <w:rPr>
          <w:rFonts w:asciiTheme="majorBidi" w:hAnsiTheme="majorBidi" w:cstheme="majorBidi"/>
          <w:b/>
          <w:bCs/>
          <w:sz w:val="24"/>
          <w:szCs w:val="24"/>
          <w:lang w:bidi="ar-SA"/>
        </w:rPr>
        <w:t>Authors’ Contributions</w:t>
      </w:r>
      <w:r w:rsidRPr="005A72B5">
        <w:rPr>
          <w:rFonts w:asciiTheme="majorBidi" w:hAnsiTheme="majorBidi" w:cstheme="majorBidi"/>
          <w:sz w:val="24"/>
          <w:szCs w:val="24"/>
          <w:lang w:bidi="ar-SA"/>
        </w:rPr>
        <w:t xml:space="preserve"> </w:t>
      </w:r>
    </w:p>
    <w:p w14:paraId="2B1F12CE" w14:textId="77777777" w:rsidR="004432DE" w:rsidRPr="005A72B5" w:rsidRDefault="00B22BC6" w:rsidP="008312F7">
      <w:pPr>
        <w:bidi w:val="0"/>
        <w:spacing w:after="0" w:line="480" w:lineRule="auto"/>
        <w:jc w:val="lowKashida"/>
        <w:rPr>
          <w:rFonts w:asciiTheme="majorBidi" w:hAnsiTheme="majorBidi" w:cstheme="majorBidi"/>
          <w:b/>
          <w:bCs/>
          <w:sz w:val="24"/>
          <w:szCs w:val="24"/>
          <w:lang w:bidi="ar-SA"/>
        </w:rPr>
      </w:pPr>
      <w:r w:rsidRPr="005A72B5">
        <w:rPr>
          <w:rFonts w:asciiTheme="majorBidi" w:hAnsiTheme="majorBidi" w:cstheme="majorBidi"/>
          <w:sz w:val="24"/>
          <w:szCs w:val="24"/>
          <w:lang w:bidi="ar-SA"/>
        </w:rPr>
        <w:t>All authors contributed equally to this research.</w:t>
      </w:r>
    </w:p>
    <w:p w14:paraId="62212DC5" w14:textId="77777777" w:rsidR="004432DE" w:rsidRPr="005A72B5" w:rsidRDefault="004432DE" w:rsidP="005A72B5">
      <w:pPr>
        <w:bidi w:val="0"/>
        <w:spacing w:after="0" w:line="480" w:lineRule="auto"/>
        <w:jc w:val="lowKashida"/>
        <w:rPr>
          <w:rFonts w:asciiTheme="majorBidi" w:hAnsiTheme="majorBidi" w:cstheme="majorBidi"/>
          <w:b/>
          <w:bCs/>
          <w:sz w:val="24"/>
          <w:szCs w:val="24"/>
          <w:lang w:bidi="ar-SA"/>
        </w:rPr>
      </w:pPr>
      <w:r w:rsidRPr="005A72B5">
        <w:rPr>
          <w:rFonts w:asciiTheme="majorBidi" w:hAnsiTheme="majorBidi" w:cstheme="majorBidi"/>
          <w:b/>
          <w:bCs/>
          <w:sz w:val="24"/>
          <w:szCs w:val="24"/>
          <w:lang w:bidi="ar-SA"/>
        </w:rPr>
        <w:t xml:space="preserve">Conflict of Interest Disclosures </w:t>
      </w:r>
    </w:p>
    <w:p w14:paraId="2DE5BC9A" w14:textId="77777777" w:rsidR="004432DE" w:rsidRPr="005A72B5" w:rsidRDefault="004432DE" w:rsidP="008312F7">
      <w:pPr>
        <w:bidi w:val="0"/>
        <w:spacing w:after="0" w:line="480" w:lineRule="auto"/>
        <w:jc w:val="lowKashida"/>
        <w:rPr>
          <w:rFonts w:asciiTheme="majorBidi" w:hAnsiTheme="majorBidi" w:cstheme="majorBidi"/>
          <w:sz w:val="24"/>
          <w:szCs w:val="24"/>
          <w:lang w:bidi="ar-SA"/>
        </w:rPr>
      </w:pPr>
      <w:proofErr w:type="gramStart"/>
      <w:r w:rsidRPr="005A72B5">
        <w:rPr>
          <w:rFonts w:asciiTheme="majorBidi" w:hAnsiTheme="majorBidi" w:cstheme="majorBidi"/>
          <w:sz w:val="24"/>
          <w:szCs w:val="24"/>
          <w:lang w:bidi="ar-SA"/>
        </w:rPr>
        <w:t>None.</w:t>
      </w:r>
      <w:proofErr w:type="gramEnd"/>
    </w:p>
    <w:p w14:paraId="646CA4A9" w14:textId="77777777" w:rsidR="00474EC6" w:rsidRDefault="00474EC6" w:rsidP="008312F7">
      <w:pPr>
        <w:bidi w:val="0"/>
        <w:spacing w:after="0" w:line="480" w:lineRule="auto"/>
        <w:jc w:val="lowKashida"/>
        <w:rPr>
          <w:rFonts w:asciiTheme="majorBidi" w:hAnsiTheme="majorBidi" w:cstheme="majorBidi"/>
          <w:b/>
          <w:bCs/>
          <w:sz w:val="24"/>
          <w:szCs w:val="24"/>
          <w:lang w:bidi="ar-SA"/>
        </w:rPr>
      </w:pPr>
    </w:p>
    <w:p w14:paraId="102AA822" w14:textId="77777777" w:rsidR="00474EC6" w:rsidRDefault="00474EC6" w:rsidP="00474EC6">
      <w:pPr>
        <w:bidi w:val="0"/>
        <w:spacing w:after="0" w:line="480" w:lineRule="auto"/>
        <w:jc w:val="lowKashida"/>
        <w:rPr>
          <w:rFonts w:asciiTheme="majorBidi" w:hAnsiTheme="majorBidi" w:cstheme="majorBidi"/>
          <w:b/>
          <w:bCs/>
          <w:sz w:val="24"/>
          <w:szCs w:val="24"/>
          <w:lang w:bidi="ar-SA"/>
        </w:rPr>
      </w:pPr>
    </w:p>
    <w:p w14:paraId="61813836" w14:textId="36F5D64A" w:rsidR="00166187" w:rsidRPr="005A72B5" w:rsidRDefault="005A2283" w:rsidP="00474EC6">
      <w:pPr>
        <w:bidi w:val="0"/>
        <w:spacing w:after="0" w:line="480" w:lineRule="auto"/>
        <w:jc w:val="lowKashida"/>
        <w:rPr>
          <w:rFonts w:asciiTheme="majorBidi" w:hAnsiTheme="majorBidi" w:cstheme="majorBidi"/>
          <w:sz w:val="24"/>
          <w:szCs w:val="24"/>
          <w:highlight w:val="yellow"/>
          <w:lang w:bidi="ar-SA"/>
        </w:rPr>
      </w:pPr>
      <w:r w:rsidRPr="005A72B5">
        <w:rPr>
          <w:rFonts w:asciiTheme="majorBidi" w:hAnsiTheme="majorBidi" w:cstheme="majorBidi"/>
          <w:b/>
          <w:bCs/>
          <w:sz w:val="24"/>
          <w:szCs w:val="24"/>
          <w:lang w:bidi="ar-SA"/>
        </w:rPr>
        <w:t>REFERENCES</w:t>
      </w:r>
    </w:p>
    <w:p w14:paraId="35564868"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highlight w:val="yellow"/>
          <w:lang w:bidi="ar-SA"/>
        </w:rPr>
        <w:fldChar w:fldCharType="begin"/>
      </w:r>
      <w:r w:rsidRPr="005A72B5">
        <w:rPr>
          <w:rFonts w:asciiTheme="majorBidi" w:hAnsiTheme="majorBidi" w:cstheme="majorBidi"/>
          <w:noProof/>
          <w:sz w:val="24"/>
          <w:szCs w:val="24"/>
          <w:highlight w:val="yellow"/>
          <w:lang w:bidi="ar-SA"/>
        </w:rPr>
        <w:instrText xml:space="preserve"> ADDIN EN.REFLIST </w:instrText>
      </w:r>
      <w:r w:rsidRPr="005A72B5">
        <w:rPr>
          <w:rFonts w:asciiTheme="majorBidi" w:hAnsiTheme="majorBidi" w:cstheme="majorBidi"/>
          <w:noProof/>
          <w:sz w:val="24"/>
          <w:szCs w:val="24"/>
          <w:highlight w:val="yellow"/>
          <w:lang w:bidi="ar-SA"/>
        </w:rPr>
        <w:fldChar w:fldCharType="separate"/>
      </w:r>
      <w:r w:rsidRPr="005A72B5">
        <w:rPr>
          <w:rFonts w:asciiTheme="majorBidi" w:hAnsiTheme="majorBidi" w:cstheme="majorBidi"/>
          <w:noProof/>
          <w:sz w:val="24"/>
          <w:szCs w:val="24"/>
          <w:lang w:bidi="ar-SA"/>
        </w:rPr>
        <w:t>1.</w:t>
      </w:r>
      <w:r w:rsidRPr="005A72B5">
        <w:rPr>
          <w:rFonts w:asciiTheme="majorBidi" w:hAnsiTheme="majorBidi" w:cstheme="majorBidi"/>
          <w:noProof/>
          <w:sz w:val="24"/>
          <w:szCs w:val="24"/>
          <w:lang w:bidi="ar-SA"/>
        </w:rPr>
        <w:tab/>
        <w:t>Antunes MJ, Antunes PE. Left-ventricular aneurysms: from disease to repair. Expert review of cardiovascular therapy. 2005;3(2):285-94.</w:t>
      </w:r>
    </w:p>
    <w:p w14:paraId="4A24A0FC"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2.</w:t>
      </w:r>
      <w:r w:rsidRPr="005A72B5">
        <w:rPr>
          <w:rFonts w:asciiTheme="majorBidi" w:hAnsiTheme="majorBidi" w:cstheme="majorBidi"/>
          <w:noProof/>
          <w:sz w:val="24"/>
          <w:szCs w:val="24"/>
          <w:lang w:bidi="ar-SA"/>
        </w:rPr>
        <w:tab/>
        <w:t>Anzai T. Post-infarction inflammation and left ventricular remodeling. Circulation Journal. 2013:CJ-13-0013.</w:t>
      </w:r>
    </w:p>
    <w:p w14:paraId="7A40D044"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3.</w:t>
      </w:r>
      <w:r w:rsidRPr="005A72B5">
        <w:rPr>
          <w:rFonts w:asciiTheme="majorBidi" w:hAnsiTheme="majorBidi" w:cstheme="majorBidi"/>
          <w:noProof/>
          <w:sz w:val="24"/>
          <w:szCs w:val="24"/>
          <w:lang w:bidi="ar-SA"/>
        </w:rPr>
        <w:tab/>
        <w:t>Shen W, Tribouilloy C, Mirode A, Dufosse H, Lesbre J. Left ventricular aneurysm and prognosis in patients with first acute transmural anterior myocardial infarction and isolated left anterior descending artery disease. European heart journal. 1992;13(1):39-44.</w:t>
      </w:r>
    </w:p>
    <w:p w14:paraId="2382B00C"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4.</w:t>
      </w:r>
      <w:r w:rsidRPr="005A72B5">
        <w:rPr>
          <w:rFonts w:asciiTheme="majorBidi" w:hAnsiTheme="majorBidi" w:cstheme="majorBidi"/>
          <w:noProof/>
          <w:sz w:val="24"/>
          <w:szCs w:val="24"/>
          <w:lang w:bidi="ar-SA"/>
        </w:rPr>
        <w:tab/>
        <w:t>Tikiz H, Atak R, Balbay Y, Genç Y, Kütük E. Left ventricular aneurysm formation after anterior myocardial infarction: clinical and angiographic determinants in 809 patients. International journal of cardiology. 2002;82(1):7-14.</w:t>
      </w:r>
    </w:p>
    <w:p w14:paraId="67A89333"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5.</w:t>
      </w:r>
      <w:r w:rsidRPr="005A72B5">
        <w:rPr>
          <w:rFonts w:asciiTheme="majorBidi" w:hAnsiTheme="majorBidi" w:cstheme="majorBidi"/>
          <w:noProof/>
          <w:sz w:val="24"/>
          <w:szCs w:val="24"/>
          <w:lang w:bidi="ar-SA"/>
        </w:rPr>
        <w:tab/>
        <w:t>Toor IS, Jaumdally RJ, Moss MS, Babu SB. Preprocedural neutrophil count predicts outcome in patients with advanced peripheral vascular disease undergoing percutaneous transluminal angioplasty. Journal of vascular surgery. 2008;48(6):1504-8.</w:t>
      </w:r>
    </w:p>
    <w:p w14:paraId="4923F95F"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6.</w:t>
      </w:r>
      <w:r w:rsidRPr="005A72B5">
        <w:rPr>
          <w:rFonts w:asciiTheme="majorBidi" w:hAnsiTheme="majorBidi" w:cstheme="majorBidi"/>
          <w:noProof/>
          <w:sz w:val="24"/>
          <w:szCs w:val="24"/>
          <w:lang w:bidi="ar-SA"/>
        </w:rPr>
        <w:tab/>
        <w:t>Stokes KY, Granger DN. Platelets: a critical link between inflammation and microvascular dysfunction. The Journal of physiology. 2012;590(5):1023-34.</w:t>
      </w:r>
    </w:p>
    <w:p w14:paraId="0422964B"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7.</w:t>
      </w:r>
      <w:r w:rsidRPr="005A72B5">
        <w:rPr>
          <w:rFonts w:asciiTheme="majorBidi" w:hAnsiTheme="majorBidi" w:cstheme="majorBidi"/>
          <w:noProof/>
          <w:sz w:val="24"/>
          <w:szCs w:val="24"/>
          <w:lang w:bidi="ar-SA"/>
        </w:rPr>
        <w:tab/>
        <w:t>Pasotti M, Prati F, Arbustini E. The pathology of myocardial infarction in the pre-and post-interventional era. Heart. 2006;92(11):1552-6.</w:t>
      </w:r>
    </w:p>
    <w:p w14:paraId="3DEC7A7C"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8.</w:t>
      </w:r>
      <w:r w:rsidRPr="005A72B5">
        <w:rPr>
          <w:rFonts w:asciiTheme="majorBidi" w:hAnsiTheme="majorBidi" w:cstheme="majorBidi"/>
          <w:noProof/>
          <w:sz w:val="24"/>
          <w:szCs w:val="24"/>
          <w:lang w:bidi="ar-SA"/>
        </w:rPr>
        <w:tab/>
        <w:t>Aliyev E, Dolapoglu A, Beketaev I, Engin C, Yagdi T, Apaydin AZ, et al., editors. Left Ventricular Aneurysm Repair with Endoaneurysmorrhaphy Technique: An Assessment of Two Different Ventriculotomy Closure Methods. The heart surgery forum; 2016.</w:t>
      </w:r>
    </w:p>
    <w:p w14:paraId="3423CC93"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9.</w:t>
      </w:r>
      <w:r w:rsidRPr="005A72B5">
        <w:rPr>
          <w:rFonts w:asciiTheme="majorBidi" w:hAnsiTheme="majorBidi" w:cstheme="majorBidi"/>
          <w:noProof/>
          <w:sz w:val="24"/>
          <w:szCs w:val="24"/>
          <w:lang w:bidi="ar-SA"/>
        </w:rPr>
        <w:tab/>
        <w:t>Ba'Albaki H, Clements Jr S. Left ventricular aneurysm: a review. Clinical cardiology. 1989;12(1):5-13.</w:t>
      </w:r>
    </w:p>
    <w:p w14:paraId="5C6C01F6"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lastRenderedPageBreak/>
        <w:t>10.</w:t>
      </w:r>
      <w:r w:rsidRPr="005A72B5">
        <w:rPr>
          <w:rFonts w:asciiTheme="majorBidi" w:hAnsiTheme="majorBidi" w:cstheme="majorBidi"/>
          <w:noProof/>
          <w:sz w:val="24"/>
          <w:szCs w:val="24"/>
          <w:lang w:bidi="ar-SA"/>
        </w:rPr>
        <w:tab/>
        <w:t>Martínez M, Pavón M, Hidalgo R. Left ventricular aneurysm and late ventricular arrhythmia after myocardial contusion. Revista Española de Cardiología (English Edition). 2003;56(7):745-6.</w:t>
      </w:r>
    </w:p>
    <w:p w14:paraId="36941D0C"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11.</w:t>
      </w:r>
      <w:r w:rsidRPr="005A72B5">
        <w:rPr>
          <w:rFonts w:asciiTheme="majorBidi" w:hAnsiTheme="majorBidi" w:cstheme="majorBidi"/>
          <w:noProof/>
          <w:sz w:val="24"/>
          <w:szCs w:val="24"/>
          <w:lang w:bidi="ar-SA"/>
        </w:rPr>
        <w:tab/>
        <w:t>Lee GY, Song YB, Hahn J-Y, Choi S-H, Choi J-H, Jeon E-S, et al., editors. Anticoagulation in ischemic left ventricular aneurysm. Mayo Clinic Proceedings; 2015: Elsevier.</w:t>
      </w:r>
    </w:p>
    <w:p w14:paraId="6B2B37AA"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12.</w:t>
      </w:r>
      <w:r w:rsidRPr="005A72B5">
        <w:rPr>
          <w:rFonts w:asciiTheme="majorBidi" w:hAnsiTheme="majorBidi" w:cstheme="majorBidi"/>
          <w:noProof/>
          <w:sz w:val="24"/>
          <w:szCs w:val="24"/>
          <w:lang w:bidi="ar-SA"/>
        </w:rPr>
        <w:tab/>
        <w:t>Amir O, Smith R, Nishikawa A, Gregoric ID, Smart FW. Left ventricular free wall rupture in acute myocardial infarction: a case report and literature review. Texas Heart Institute Journal. 2005;32(3):424.</w:t>
      </w:r>
    </w:p>
    <w:p w14:paraId="74035A95"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13.</w:t>
      </w:r>
      <w:r w:rsidRPr="005A72B5">
        <w:rPr>
          <w:rFonts w:asciiTheme="majorBidi" w:hAnsiTheme="majorBidi" w:cstheme="majorBidi"/>
          <w:noProof/>
          <w:sz w:val="24"/>
          <w:szCs w:val="24"/>
          <w:lang w:bidi="ar-SA"/>
        </w:rPr>
        <w:tab/>
        <w:t>Wang Z, Ren L, Liu N, Peng J. The relationship between post-procedural platelet count and left ventricular aneurysm in patients with acute anterior ST-segment elevation myocardial infarction following primary percutaneous coronary intervention. Kardiologia Polska (Polish Heart Journal). 2018;76(5):899-907.</w:t>
      </w:r>
    </w:p>
    <w:p w14:paraId="3FB700A3"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14.</w:t>
      </w:r>
      <w:r w:rsidRPr="005A72B5">
        <w:rPr>
          <w:rFonts w:asciiTheme="majorBidi" w:hAnsiTheme="majorBidi" w:cstheme="majorBidi"/>
          <w:noProof/>
          <w:sz w:val="24"/>
          <w:szCs w:val="24"/>
          <w:lang w:bidi="ar-SA"/>
        </w:rPr>
        <w:tab/>
        <w:t>Galiuto L, Barchetta S, Paladini S, Lanza G, Rebuzzi AG, Marzilli M, et al. Functional and structural correlates of persistent ST elevation after acute myocardial infarction successfully treated by percutaneous coronary intervention. Heart. 2007;93(11):1376-80.</w:t>
      </w:r>
    </w:p>
    <w:p w14:paraId="6AA04674"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15.</w:t>
      </w:r>
      <w:r w:rsidRPr="005A72B5">
        <w:rPr>
          <w:rFonts w:asciiTheme="majorBidi" w:hAnsiTheme="majorBidi" w:cstheme="majorBidi"/>
          <w:noProof/>
          <w:sz w:val="24"/>
          <w:szCs w:val="24"/>
          <w:lang w:bidi="ar-SA"/>
        </w:rPr>
        <w:tab/>
        <w:t>Mori M, Sakakura K, Wada H, Ikeda N, Jinnouchi H, Sugawara Y, et al. Left ventricular apical aneurysm following primary percutaneous coronary intervention. Heart and vessels. 2013;28(6):677-83.</w:t>
      </w:r>
    </w:p>
    <w:p w14:paraId="21BBB6CB"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16.</w:t>
      </w:r>
      <w:r w:rsidRPr="005A72B5">
        <w:rPr>
          <w:rFonts w:asciiTheme="majorBidi" w:hAnsiTheme="majorBidi" w:cstheme="majorBidi"/>
          <w:noProof/>
          <w:sz w:val="24"/>
          <w:szCs w:val="24"/>
          <w:lang w:bidi="ar-SA"/>
        </w:rPr>
        <w:tab/>
        <w:t>Celik T, Kaya MG, Akpek M, Gunebakmaz O, Balta S, Sarli B, et al. Predictive value of admission platelet volume indices for in-hospital major adverse cardiovascular events in acute ST-segment elevation myocardial infarction. Angiology. 2015;66(2):155-62.</w:t>
      </w:r>
    </w:p>
    <w:p w14:paraId="39605DBE"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lastRenderedPageBreak/>
        <w:t>17.</w:t>
      </w:r>
      <w:r w:rsidRPr="005A72B5">
        <w:rPr>
          <w:rFonts w:asciiTheme="majorBidi" w:hAnsiTheme="majorBidi" w:cstheme="majorBidi"/>
          <w:noProof/>
          <w:sz w:val="24"/>
          <w:szCs w:val="24"/>
          <w:lang w:bidi="ar-SA"/>
        </w:rPr>
        <w:tab/>
        <w:t>Liu J, Wang H, Li J. Inflammation and inflammatory cells in myocardial infarction and reperfusion injury: a double-edged sword. Clinical Medicine Insights: Cardiology. 2016;10:CMC. S33164.</w:t>
      </w:r>
    </w:p>
    <w:p w14:paraId="40F90D40"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18.</w:t>
      </w:r>
      <w:r w:rsidRPr="005A72B5">
        <w:rPr>
          <w:rFonts w:asciiTheme="majorBidi" w:hAnsiTheme="majorBidi" w:cstheme="majorBidi"/>
          <w:noProof/>
          <w:sz w:val="24"/>
          <w:szCs w:val="24"/>
          <w:lang w:bidi="ar-SA"/>
        </w:rPr>
        <w:tab/>
        <w:t>Nikolsky E, Grines CL, Cox DA, Garcia E, Tcheng JE, Sadeghi M, et al. Impact of baseline platelet count in patients undergoing primary percutaneous coronary intervention in acute myocardial infarction (from the CADILLAC trial). The American journal of cardiology. 2007;99(8):1055-61.</w:t>
      </w:r>
    </w:p>
    <w:p w14:paraId="2D7E382D" w14:textId="77777777" w:rsidR="00166187" w:rsidRPr="005A72B5" w:rsidRDefault="00166187" w:rsidP="005A72B5">
      <w:pPr>
        <w:bidi w:val="0"/>
        <w:spacing w:after="0"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19.</w:t>
      </w:r>
      <w:r w:rsidRPr="005A72B5">
        <w:rPr>
          <w:rFonts w:asciiTheme="majorBidi" w:hAnsiTheme="majorBidi" w:cstheme="majorBidi"/>
          <w:noProof/>
          <w:sz w:val="24"/>
          <w:szCs w:val="24"/>
          <w:lang w:bidi="ar-SA"/>
        </w:rPr>
        <w:tab/>
        <w:t>Liu Y, Gao X-M, Fang L, Jennings NL, Su Y, Samson AL, et al. Novel role of platelets in mediating inflammatory responses and ventricular rupture or remodeling following myocardial infarction. Arteriosclerosis, thrombosis, and vascular biology. 2011;31(4):834-41.</w:t>
      </w:r>
    </w:p>
    <w:p w14:paraId="5E3DEDB6" w14:textId="77777777" w:rsidR="00166187" w:rsidRPr="005A72B5" w:rsidRDefault="00166187" w:rsidP="005A72B5">
      <w:pPr>
        <w:bidi w:val="0"/>
        <w:spacing w:line="480" w:lineRule="auto"/>
        <w:jc w:val="lowKashida"/>
        <w:rPr>
          <w:rFonts w:asciiTheme="majorBidi" w:hAnsiTheme="majorBidi" w:cstheme="majorBidi"/>
          <w:noProof/>
          <w:sz w:val="24"/>
          <w:szCs w:val="24"/>
          <w:lang w:bidi="ar-SA"/>
        </w:rPr>
      </w:pPr>
      <w:r w:rsidRPr="005A72B5">
        <w:rPr>
          <w:rFonts w:asciiTheme="majorBidi" w:hAnsiTheme="majorBidi" w:cstheme="majorBidi"/>
          <w:noProof/>
          <w:sz w:val="24"/>
          <w:szCs w:val="24"/>
          <w:lang w:bidi="ar-SA"/>
        </w:rPr>
        <w:t>20.</w:t>
      </w:r>
      <w:r w:rsidRPr="005A72B5">
        <w:rPr>
          <w:rFonts w:asciiTheme="majorBidi" w:hAnsiTheme="majorBidi" w:cstheme="majorBidi"/>
          <w:noProof/>
          <w:sz w:val="24"/>
          <w:szCs w:val="24"/>
          <w:lang w:bidi="ar-SA"/>
        </w:rPr>
        <w:tab/>
        <w:t>Yamamuro A, Akasaka T, Kaji S, Tamita K, Katayama M, Kinoshita M, et al. Coronary Flow Velocity Pattern Immediately after Percutaneous Coronary Intervention Predicts True Left Ventricular Aneurysm in Patients with Acute Anterior Myocardial Infarction. Am Heart Assoc; 2008.</w:t>
      </w:r>
    </w:p>
    <w:p w14:paraId="08D55761" w14:textId="77777777" w:rsidR="00166187" w:rsidRPr="005A72B5" w:rsidRDefault="00166187" w:rsidP="005A72B5">
      <w:pPr>
        <w:bidi w:val="0"/>
        <w:spacing w:after="0" w:line="480" w:lineRule="auto"/>
        <w:jc w:val="lowKashida"/>
        <w:rPr>
          <w:rFonts w:asciiTheme="majorBidi" w:hAnsiTheme="majorBidi" w:cstheme="majorBidi"/>
          <w:sz w:val="24"/>
          <w:szCs w:val="24"/>
          <w:highlight w:val="yellow"/>
          <w:lang w:bidi="ar-SA"/>
        </w:rPr>
      </w:pPr>
      <w:r w:rsidRPr="005A72B5">
        <w:rPr>
          <w:rFonts w:asciiTheme="majorBidi" w:hAnsiTheme="majorBidi" w:cstheme="majorBidi"/>
          <w:sz w:val="24"/>
          <w:szCs w:val="24"/>
          <w:highlight w:val="yellow"/>
          <w:lang w:bidi="ar-SA"/>
        </w:rPr>
        <w:fldChar w:fldCharType="end"/>
      </w:r>
    </w:p>
    <w:p w14:paraId="7B85EC2B" w14:textId="77777777" w:rsidR="00166187" w:rsidRPr="005A72B5" w:rsidRDefault="00166187" w:rsidP="005A72B5">
      <w:pPr>
        <w:bidi w:val="0"/>
        <w:spacing w:after="0" w:line="480" w:lineRule="auto"/>
        <w:jc w:val="lowKashida"/>
        <w:rPr>
          <w:rFonts w:asciiTheme="majorBidi" w:hAnsiTheme="majorBidi" w:cstheme="majorBidi"/>
          <w:sz w:val="24"/>
          <w:szCs w:val="24"/>
          <w:lang w:bidi="ar-SA"/>
        </w:rPr>
      </w:pPr>
    </w:p>
    <w:p w14:paraId="5BC215D8" w14:textId="77777777" w:rsidR="00A92ECD" w:rsidRPr="005A72B5" w:rsidRDefault="00A92ECD" w:rsidP="005A72B5">
      <w:pPr>
        <w:bidi w:val="0"/>
        <w:spacing w:line="480" w:lineRule="auto"/>
        <w:rPr>
          <w:rFonts w:asciiTheme="majorBidi" w:hAnsiTheme="majorBidi" w:cstheme="majorBidi"/>
          <w:sz w:val="24"/>
          <w:szCs w:val="24"/>
        </w:rPr>
      </w:pPr>
    </w:p>
    <w:sectPr w:rsidR="00A92ECD" w:rsidRPr="005A72B5" w:rsidSect="00E80F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644E"/>
    <w:multiLevelType w:val="hybridMultilevel"/>
    <w:tmpl w:val="FDCC1656"/>
    <w:lvl w:ilvl="0" w:tplc="CDFCD4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97A0B21"/>
    <w:multiLevelType w:val="hybridMultilevel"/>
    <w:tmpl w:val="317E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3tjA2NbcwNDU2MzdV0lEKTi0uzszPAykwqgUAtynnZiwAAAA="/>
  </w:docVars>
  <w:rsids>
    <w:rsidRoot w:val="00FC6240"/>
    <w:rsid w:val="00067EEB"/>
    <w:rsid w:val="00090901"/>
    <w:rsid w:val="00093434"/>
    <w:rsid w:val="00094C12"/>
    <w:rsid w:val="000A5801"/>
    <w:rsid w:val="000B2AB1"/>
    <w:rsid w:val="000B6C06"/>
    <w:rsid w:val="00165527"/>
    <w:rsid w:val="00166187"/>
    <w:rsid w:val="001845C9"/>
    <w:rsid w:val="001C033E"/>
    <w:rsid w:val="00220C2B"/>
    <w:rsid w:val="00225FE4"/>
    <w:rsid w:val="00294739"/>
    <w:rsid w:val="002B17F6"/>
    <w:rsid w:val="003255EB"/>
    <w:rsid w:val="00381B7B"/>
    <w:rsid w:val="004432DE"/>
    <w:rsid w:val="00474EC6"/>
    <w:rsid w:val="004920D8"/>
    <w:rsid w:val="004C4903"/>
    <w:rsid w:val="004F430F"/>
    <w:rsid w:val="00516F4F"/>
    <w:rsid w:val="00540D61"/>
    <w:rsid w:val="005A2283"/>
    <w:rsid w:val="005A72B5"/>
    <w:rsid w:val="00633930"/>
    <w:rsid w:val="00655865"/>
    <w:rsid w:val="00667C9C"/>
    <w:rsid w:val="006E1EC0"/>
    <w:rsid w:val="00721323"/>
    <w:rsid w:val="0073467C"/>
    <w:rsid w:val="00746FA5"/>
    <w:rsid w:val="00775402"/>
    <w:rsid w:val="0079545F"/>
    <w:rsid w:val="0080185E"/>
    <w:rsid w:val="008312F7"/>
    <w:rsid w:val="0085548D"/>
    <w:rsid w:val="00864E72"/>
    <w:rsid w:val="008809DB"/>
    <w:rsid w:val="008C20AD"/>
    <w:rsid w:val="008E48EA"/>
    <w:rsid w:val="00945DEF"/>
    <w:rsid w:val="009F7382"/>
    <w:rsid w:val="00A11B30"/>
    <w:rsid w:val="00A150D5"/>
    <w:rsid w:val="00A268FE"/>
    <w:rsid w:val="00A42215"/>
    <w:rsid w:val="00A812B7"/>
    <w:rsid w:val="00A85C89"/>
    <w:rsid w:val="00A92ECD"/>
    <w:rsid w:val="00A9472F"/>
    <w:rsid w:val="00AB09AF"/>
    <w:rsid w:val="00AE2261"/>
    <w:rsid w:val="00B22BC6"/>
    <w:rsid w:val="00B54454"/>
    <w:rsid w:val="00B80AD6"/>
    <w:rsid w:val="00B80DEC"/>
    <w:rsid w:val="00C01B28"/>
    <w:rsid w:val="00C5215D"/>
    <w:rsid w:val="00C81918"/>
    <w:rsid w:val="00CA1597"/>
    <w:rsid w:val="00CD32D8"/>
    <w:rsid w:val="00CF43CE"/>
    <w:rsid w:val="00E80FB6"/>
    <w:rsid w:val="00F325B6"/>
    <w:rsid w:val="00F62769"/>
    <w:rsid w:val="00FB15B4"/>
    <w:rsid w:val="00FC62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C6240"/>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240"/>
    <w:rPr>
      <w:rFonts w:ascii="Times New Roman" w:eastAsia="Times New Roman" w:hAnsi="Times New Roman" w:cs="Times New Roman"/>
      <w:b/>
      <w:bCs/>
      <w:sz w:val="27"/>
      <w:szCs w:val="27"/>
      <w:lang w:bidi="ar-SA"/>
    </w:rPr>
  </w:style>
  <w:style w:type="numbering" w:customStyle="1" w:styleId="NoList1">
    <w:name w:val="No List1"/>
    <w:next w:val="NoList"/>
    <w:uiPriority w:val="99"/>
    <w:semiHidden/>
    <w:unhideWhenUsed/>
    <w:rsid w:val="00FC6240"/>
  </w:style>
  <w:style w:type="table" w:customStyle="1" w:styleId="TableGrid2">
    <w:name w:val="Table Grid2"/>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Grid8"/>
    <w:uiPriority w:val="39"/>
    <w:rsid w:val="00FC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rsid w:val="00FC6240"/>
    <w:pPr>
      <w:spacing w:after="0" w:line="240" w:lineRule="auto"/>
    </w:pPr>
    <w:rPr>
      <w:lang w:bidi="ar-S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semiHidden/>
    <w:unhideWhenUsed/>
    <w:rsid w:val="00FC6240"/>
    <w:rPr>
      <w:color w:val="0000FF"/>
      <w:u w:val="single"/>
    </w:rPr>
  </w:style>
  <w:style w:type="table" w:customStyle="1" w:styleId="GridTable1Light1">
    <w:name w:val="Grid Table 1 Light1"/>
    <w:basedOn w:val="TableNormal"/>
    <w:uiPriority w:val="46"/>
    <w:rsid w:val="00FC6240"/>
    <w:pPr>
      <w:spacing w:after="0" w:line="240" w:lineRule="auto"/>
    </w:pPr>
    <w:rPr>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8">
    <w:name w:val="Table Grid 8"/>
    <w:basedOn w:val="TableNormal"/>
    <w:uiPriority w:val="99"/>
    <w:semiHidden/>
    <w:unhideWhenUsed/>
    <w:rsid w:val="00FC6240"/>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C6240"/>
    <w:pPr>
      <w:bidi w:val="0"/>
      <w:ind w:left="720"/>
      <w:contextualSpacing/>
    </w:pPr>
    <w:rPr>
      <w:lang w:bidi="ar-SA"/>
    </w:rPr>
  </w:style>
  <w:style w:type="paragraph" w:customStyle="1" w:styleId="EndNoteBibliographyTitle">
    <w:name w:val="EndNote Bibliography Title"/>
    <w:basedOn w:val="Normal"/>
    <w:link w:val="EndNoteBibliographyTitleChar"/>
    <w:rsid w:val="00FC6240"/>
    <w:pPr>
      <w:bidi w:val="0"/>
      <w:spacing w:after="0"/>
      <w:jc w:val="center"/>
    </w:pPr>
    <w:rPr>
      <w:rFonts w:ascii="Calibri" w:hAnsi="Calibri"/>
      <w:noProof/>
      <w:lang w:bidi="ar-SA"/>
    </w:rPr>
  </w:style>
  <w:style w:type="character" w:customStyle="1" w:styleId="EndNoteBibliographyTitleChar">
    <w:name w:val="EndNote Bibliography Title Char"/>
    <w:basedOn w:val="DefaultParagraphFont"/>
    <w:link w:val="EndNoteBibliographyTitle"/>
    <w:rsid w:val="00FC6240"/>
    <w:rPr>
      <w:rFonts w:ascii="Calibri" w:hAnsi="Calibri"/>
      <w:noProof/>
      <w:lang w:bidi="ar-SA"/>
    </w:rPr>
  </w:style>
  <w:style w:type="paragraph" w:customStyle="1" w:styleId="EndNoteBibliography">
    <w:name w:val="EndNote Bibliography"/>
    <w:basedOn w:val="Normal"/>
    <w:link w:val="EndNoteBibliographyChar"/>
    <w:rsid w:val="00FC6240"/>
    <w:pPr>
      <w:bidi w:val="0"/>
      <w:spacing w:line="240" w:lineRule="auto"/>
      <w:jc w:val="lowKashida"/>
    </w:pPr>
    <w:rPr>
      <w:rFonts w:ascii="Calibri" w:hAnsi="Calibri"/>
      <w:noProof/>
      <w:lang w:bidi="ar-SA"/>
    </w:rPr>
  </w:style>
  <w:style w:type="character" w:customStyle="1" w:styleId="EndNoteBibliographyChar">
    <w:name w:val="EndNote Bibliography Char"/>
    <w:basedOn w:val="DefaultParagraphFont"/>
    <w:link w:val="EndNoteBibliography"/>
    <w:rsid w:val="00FC6240"/>
    <w:rPr>
      <w:rFonts w:ascii="Calibri" w:hAnsi="Calibri"/>
      <w:noProo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C6240"/>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240"/>
    <w:rPr>
      <w:rFonts w:ascii="Times New Roman" w:eastAsia="Times New Roman" w:hAnsi="Times New Roman" w:cs="Times New Roman"/>
      <w:b/>
      <w:bCs/>
      <w:sz w:val="27"/>
      <w:szCs w:val="27"/>
      <w:lang w:bidi="ar-SA"/>
    </w:rPr>
  </w:style>
  <w:style w:type="numbering" w:customStyle="1" w:styleId="NoList1">
    <w:name w:val="No List1"/>
    <w:next w:val="NoList"/>
    <w:uiPriority w:val="99"/>
    <w:semiHidden/>
    <w:unhideWhenUsed/>
    <w:rsid w:val="00FC6240"/>
  </w:style>
  <w:style w:type="table" w:customStyle="1" w:styleId="TableGrid2">
    <w:name w:val="Table Grid2"/>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Grid8"/>
    <w:uiPriority w:val="39"/>
    <w:rsid w:val="00FC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624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rsid w:val="00FC6240"/>
    <w:pPr>
      <w:spacing w:after="0" w:line="240" w:lineRule="auto"/>
    </w:pPr>
    <w:rPr>
      <w:lang w:bidi="ar-S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semiHidden/>
    <w:unhideWhenUsed/>
    <w:rsid w:val="00FC6240"/>
    <w:rPr>
      <w:color w:val="0000FF"/>
      <w:u w:val="single"/>
    </w:rPr>
  </w:style>
  <w:style w:type="table" w:customStyle="1" w:styleId="GridTable1Light1">
    <w:name w:val="Grid Table 1 Light1"/>
    <w:basedOn w:val="TableNormal"/>
    <w:uiPriority w:val="46"/>
    <w:rsid w:val="00FC6240"/>
    <w:pPr>
      <w:spacing w:after="0" w:line="240" w:lineRule="auto"/>
    </w:pPr>
    <w:rPr>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8">
    <w:name w:val="Table Grid 8"/>
    <w:basedOn w:val="TableNormal"/>
    <w:uiPriority w:val="99"/>
    <w:semiHidden/>
    <w:unhideWhenUsed/>
    <w:rsid w:val="00FC6240"/>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C6240"/>
    <w:pPr>
      <w:bidi w:val="0"/>
      <w:ind w:left="720"/>
      <w:contextualSpacing/>
    </w:pPr>
    <w:rPr>
      <w:lang w:bidi="ar-SA"/>
    </w:rPr>
  </w:style>
  <w:style w:type="paragraph" w:customStyle="1" w:styleId="EndNoteBibliographyTitle">
    <w:name w:val="EndNote Bibliography Title"/>
    <w:basedOn w:val="Normal"/>
    <w:link w:val="EndNoteBibliographyTitleChar"/>
    <w:rsid w:val="00FC6240"/>
    <w:pPr>
      <w:bidi w:val="0"/>
      <w:spacing w:after="0"/>
      <w:jc w:val="center"/>
    </w:pPr>
    <w:rPr>
      <w:rFonts w:ascii="Calibri" w:hAnsi="Calibri"/>
      <w:noProof/>
      <w:lang w:bidi="ar-SA"/>
    </w:rPr>
  </w:style>
  <w:style w:type="character" w:customStyle="1" w:styleId="EndNoteBibliographyTitleChar">
    <w:name w:val="EndNote Bibliography Title Char"/>
    <w:basedOn w:val="DefaultParagraphFont"/>
    <w:link w:val="EndNoteBibliographyTitle"/>
    <w:rsid w:val="00FC6240"/>
    <w:rPr>
      <w:rFonts w:ascii="Calibri" w:hAnsi="Calibri"/>
      <w:noProof/>
      <w:lang w:bidi="ar-SA"/>
    </w:rPr>
  </w:style>
  <w:style w:type="paragraph" w:customStyle="1" w:styleId="EndNoteBibliography">
    <w:name w:val="EndNote Bibliography"/>
    <w:basedOn w:val="Normal"/>
    <w:link w:val="EndNoteBibliographyChar"/>
    <w:rsid w:val="00FC6240"/>
    <w:pPr>
      <w:bidi w:val="0"/>
      <w:spacing w:line="240" w:lineRule="auto"/>
      <w:jc w:val="lowKashida"/>
    </w:pPr>
    <w:rPr>
      <w:rFonts w:ascii="Calibri" w:hAnsi="Calibri"/>
      <w:noProof/>
      <w:lang w:bidi="ar-SA"/>
    </w:rPr>
  </w:style>
  <w:style w:type="character" w:customStyle="1" w:styleId="EndNoteBibliographyChar">
    <w:name w:val="EndNote Bibliography Char"/>
    <w:basedOn w:val="DefaultParagraphFont"/>
    <w:link w:val="EndNoteBibliography"/>
    <w:rsid w:val="00FC6240"/>
    <w:rPr>
      <w:rFonts w:ascii="Calibri" w:hAnsi="Calibri"/>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dc:creator>
  <cp:lastModifiedBy>Resh-b50</cp:lastModifiedBy>
  <cp:revision>2</cp:revision>
  <dcterms:created xsi:type="dcterms:W3CDTF">2020-03-18T04:41:00Z</dcterms:created>
  <dcterms:modified xsi:type="dcterms:W3CDTF">2020-03-18T04:41:00Z</dcterms:modified>
</cp:coreProperties>
</file>